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E0F49" w14:textId="50B53D9A" w:rsidR="007F36EE" w:rsidRPr="00D21949" w:rsidRDefault="00276B0B" w:rsidP="0053374A">
      <w:pPr>
        <w:spacing w:line="360" w:lineRule="auto"/>
        <w:jc w:val="center"/>
        <w:rPr>
          <w:sz w:val="28"/>
          <w:szCs w:val="28"/>
        </w:rPr>
      </w:pPr>
      <w:r w:rsidRPr="00276B0B">
        <w:rPr>
          <w:sz w:val="28"/>
          <w:szCs w:val="28"/>
        </w:rPr>
        <w:t>LA MUTILACIÓN GENITAL FEMENINA EN EL DERECHO PENAL ESPAÑOL: EVOLUCIÓN NORMATIVA Y ARGUMENTACIÓN JURISPRUDENCIAL</w:t>
      </w:r>
    </w:p>
    <w:p w14:paraId="5337DE21" w14:textId="07ED1016" w:rsidR="00E60519" w:rsidRPr="00FA6D5E" w:rsidRDefault="00E60519" w:rsidP="0053374A">
      <w:pPr>
        <w:spacing w:line="360" w:lineRule="auto"/>
        <w:jc w:val="center"/>
        <w:rPr>
          <w:i/>
          <w:iCs/>
          <w:lang w:val="en-GB"/>
        </w:rPr>
      </w:pPr>
      <w:r w:rsidRPr="00FA6D5E">
        <w:rPr>
          <w:smallCaps/>
          <w:lang w:val="en-GB"/>
        </w:rPr>
        <w:t>[Eng]</w:t>
      </w:r>
      <w:r w:rsidRPr="00FA6D5E">
        <w:rPr>
          <w:lang w:val="en-GB"/>
        </w:rPr>
        <w:t xml:space="preserve"> </w:t>
      </w:r>
      <w:r w:rsidR="00276B0B" w:rsidRPr="00991DFA">
        <w:rPr>
          <w:i/>
          <w:lang w:val="en-GB"/>
        </w:rPr>
        <w:t>Female Genital Mutilation in Spanish Criminal Law: Legislative Evolution and Jurisprudential Reasoning</w:t>
      </w:r>
    </w:p>
    <w:p w14:paraId="4E3BCBF3" w14:textId="77777777" w:rsidR="00B83742" w:rsidRPr="00FA6D5E" w:rsidRDefault="00B83742" w:rsidP="00D21949">
      <w:pPr>
        <w:spacing w:before="120" w:after="120" w:line="360" w:lineRule="auto"/>
        <w:rPr>
          <w:rFonts w:eastAsia="MS Mincho"/>
          <w:kern w:val="0"/>
          <w:sz w:val="22"/>
          <w:szCs w:val="22"/>
          <w:lang w:val="en-GB"/>
          <w14:ligatures w14:val="none"/>
        </w:rPr>
      </w:pPr>
    </w:p>
    <w:p w14:paraId="6A38A752" w14:textId="5B7BA118" w:rsidR="006F2165" w:rsidRPr="00D21949" w:rsidRDefault="006F2165" w:rsidP="006F2165">
      <w:pPr>
        <w:spacing w:before="120" w:after="120" w:line="360" w:lineRule="auto"/>
        <w:jc w:val="center"/>
        <w:rPr>
          <w:rFonts w:eastAsia="MS Mincho"/>
          <w:kern w:val="0"/>
          <w:sz w:val="22"/>
          <w:szCs w:val="22"/>
          <w14:ligatures w14:val="none"/>
        </w:rPr>
      </w:pPr>
      <w:r w:rsidRPr="00FA6D5E">
        <w:rPr>
          <w:rFonts w:eastAsia="MS Mincho"/>
          <w:kern w:val="0"/>
          <w:sz w:val="22"/>
          <w:szCs w:val="22"/>
          <w14:ligatures w14:val="none"/>
        </w:rPr>
        <w:t xml:space="preserve">Fecha de recepción: </w:t>
      </w:r>
      <w:r w:rsidR="00FA6D5E">
        <w:rPr>
          <w:rFonts w:eastAsia="MS Mincho"/>
          <w:kern w:val="0"/>
          <w:sz w:val="22"/>
          <w:szCs w:val="22"/>
          <w14:ligatures w14:val="none"/>
        </w:rPr>
        <w:t>14 julio 2025</w:t>
      </w:r>
      <w:r w:rsidRPr="00FA6D5E">
        <w:rPr>
          <w:rFonts w:eastAsia="MS Mincho"/>
          <w:kern w:val="0"/>
          <w:sz w:val="22"/>
          <w:szCs w:val="22"/>
          <w14:ligatures w14:val="none"/>
        </w:rPr>
        <w:t xml:space="preserve"> / Fecha de aceptación: </w:t>
      </w:r>
      <w:r w:rsidR="00FA6D5E">
        <w:rPr>
          <w:rFonts w:eastAsia="MS Mincho"/>
          <w:kern w:val="0"/>
          <w:sz w:val="22"/>
          <w:szCs w:val="22"/>
          <w14:ligatures w14:val="none"/>
        </w:rPr>
        <w:t>12 septiembre 2025</w:t>
      </w:r>
    </w:p>
    <w:p w14:paraId="32A27654" w14:textId="77777777" w:rsidR="00E60519" w:rsidRPr="00D21949" w:rsidRDefault="00E60519" w:rsidP="0053374A">
      <w:pPr>
        <w:spacing w:line="360" w:lineRule="auto"/>
        <w:jc w:val="center"/>
        <w:rPr>
          <w:b/>
          <w:bCs/>
        </w:rPr>
      </w:pPr>
    </w:p>
    <w:p w14:paraId="1283BE4C" w14:textId="01A7A5C2" w:rsidR="00B176C4" w:rsidRPr="00276B0B" w:rsidRDefault="00276B0B" w:rsidP="00E60519">
      <w:pPr>
        <w:jc w:val="right"/>
        <w:rPr>
          <w:bCs/>
          <w:i/>
          <w:iCs/>
          <w:smallCaps/>
        </w:rPr>
      </w:pPr>
      <w:r w:rsidRPr="00276B0B">
        <w:rPr>
          <w:smallCaps/>
          <w:lang w:val="pt-PT" w:eastAsia="he-IL" w:bidi="he-IL"/>
        </w:rPr>
        <w:t>Pelayo Jardón Pardo de Santayana</w:t>
      </w:r>
      <w:r w:rsidR="00B176C4" w:rsidRPr="00276B0B">
        <w:rPr>
          <w:bCs/>
          <w:i/>
          <w:iCs/>
          <w:smallCaps/>
        </w:rPr>
        <w:t xml:space="preserve"> </w:t>
      </w:r>
    </w:p>
    <w:p w14:paraId="7F3AFE5E" w14:textId="221110C1" w:rsidR="004F60B9" w:rsidRPr="00276B0B" w:rsidRDefault="00276B0B" w:rsidP="00E60519">
      <w:pPr>
        <w:jc w:val="right"/>
        <w:rPr>
          <w:bCs/>
          <w:i/>
          <w:iCs/>
        </w:rPr>
      </w:pPr>
      <w:r w:rsidRPr="00276B0B">
        <w:rPr>
          <w:i/>
          <w:iCs/>
          <w:lang w:val="pt-PT" w:eastAsia="he-IL" w:bidi="he-IL"/>
        </w:rPr>
        <w:t>UNED Segovia</w:t>
      </w:r>
    </w:p>
    <w:p w14:paraId="0DA40DC3" w14:textId="69FB5A33" w:rsidR="00A85705" w:rsidRPr="00D21949" w:rsidRDefault="00A85705" w:rsidP="00E60519">
      <w:pPr>
        <w:jc w:val="right"/>
        <w:rPr>
          <w:bCs/>
        </w:rPr>
      </w:pPr>
      <w:r w:rsidRPr="00D21949">
        <w:rPr>
          <w:bCs/>
        </w:rPr>
        <w:t>(</w:t>
      </w:r>
      <w:r w:rsidR="00B176C4" w:rsidRPr="00D21949">
        <w:t>España</w:t>
      </w:r>
      <w:r w:rsidRPr="00D21949">
        <w:rPr>
          <w:bCs/>
        </w:rPr>
        <w:t>)</w:t>
      </w:r>
    </w:p>
    <w:p w14:paraId="7520CEB6" w14:textId="77777777" w:rsidR="00276B0B" w:rsidRPr="00AC3F35" w:rsidRDefault="00276B0B" w:rsidP="00276B0B">
      <w:pPr>
        <w:ind w:firstLine="709"/>
        <w:jc w:val="right"/>
        <w:rPr>
          <w:lang w:val="pt-PT" w:eastAsia="he-IL" w:bidi="he-IL"/>
        </w:rPr>
      </w:pPr>
      <w:r>
        <w:rPr>
          <w:lang w:val="pt-PT" w:eastAsia="he-IL" w:bidi="he-IL"/>
        </w:rPr>
        <w:t>peljardon@segovia.uned.es</w:t>
      </w:r>
    </w:p>
    <w:p w14:paraId="083E4DF5" w14:textId="7A212B8D" w:rsidR="004F60B9" w:rsidRPr="00D21949" w:rsidRDefault="004F60B9" w:rsidP="00E60519">
      <w:pPr>
        <w:jc w:val="right"/>
        <w:rPr>
          <w:bCs/>
        </w:rPr>
      </w:pPr>
      <w:r w:rsidRPr="00D21949">
        <w:rPr>
          <w:bCs/>
        </w:rPr>
        <w:t>ORCID</w:t>
      </w:r>
      <w:r w:rsidR="002B58CC" w:rsidRPr="00D21949">
        <w:rPr>
          <w:bCs/>
        </w:rPr>
        <w:t>:</w:t>
      </w:r>
      <w:r w:rsidRPr="00D21949">
        <w:rPr>
          <w:bCs/>
        </w:rPr>
        <w:t xml:space="preserve"> </w:t>
      </w:r>
      <w:r w:rsidR="00276B0B" w:rsidRPr="00AC3F35">
        <w:rPr>
          <w:lang w:val="pt-PT" w:eastAsia="he-IL" w:bidi="he-IL"/>
        </w:rPr>
        <w:t>0000-0002-8235-8510</w:t>
      </w:r>
    </w:p>
    <w:p w14:paraId="7B195131" w14:textId="68FA8EE8" w:rsidR="007C4743" w:rsidRPr="00D21949" w:rsidRDefault="007C4743" w:rsidP="007C4743">
      <w:pPr>
        <w:ind w:firstLine="567"/>
        <w:jc w:val="right"/>
        <w:rPr>
          <w:rFonts w:eastAsia="Aptos"/>
        </w:rPr>
      </w:pPr>
      <w:r w:rsidRPr="00FA6D5E">
        <w:rPr>
          <w:rFonts w:eastAsia="Aptos"/>
        </w:rPr>
        <w:t xml:space="preserve">DOI: </w:t>
      </w:r>
      <w:r w:rsidR="00FA6D5E" w:rsidRPr="00FA6D5E">
        <w:rPr>
          <w:rFonts w:eastAsia="Aptos"/>
        </w:rPr>
        <w:t>10.12800/vg.21.</w:t>
      </w:r>
      <w:r w:rsidR="00FA6D5E" w:rsidRPr="00FA6D5E">
        <w:rPr>
          <w:rFonts w:eastAsia="Aptos"/>
        </w:rPr>
        <w:t>4</w:t>
      </w:r>
    </w:p>
    <w:p w14:paraId="753B32D0" w14:textId="77777777" w:rsidR="007C4743" w:rsidRPr="00D21949" w:rsidRDefault="007C4743" w:rsidP="00E60519">
      <w:pPr>
        <w:jc w:val="right"/>
        <w:rPr>
          <w:bCs/>
        </w:rPr>
      </w:pPr>
    </w:p>
    <w:p w14:paraId="0D7159C6" w14:textId="77777777" w:rsidR="00A85705" w:rsidRPr="00D21949" w:rsidRDefault="00A85705" w:rsidP="00E60519">
      <w:pPr>
        <w:jc w:val="both"/>
        <w:rPr>
          <w:i/>
          <w:iCs/>
        </w:rPr>
      </w:pPr>
    </w:p>
    <w:p w14:paraId="27D06A17" w14:textId="797E7A6B" w:rsidR="00A0796B" w:rsidRPr="00D21949" w:rsidRDefault="00421060" w:rsidP="00E60519">
      <w:pPr>
        <w:jc w:val="both"/>
        <w:rPr>
          <w:rFonts w:eastAsia="Times New Roman"/>
          <w:kern w:val="0"/>
          <w:lang w:eastAsia="fr-FR"/>
          <w14:ligatures w14:val="none"/>
        </w:rPr>
      </w:pPr>
      <w:r w:rsidRPr="00D21949">
        <w:rPr>
          <w:i/>
          <w:iCs/>
        </w:rPr>
        <w:t>R</w:t>
      </w:r>
      <w:r w:rsidR="00D21949" w:rsidRPr="00D21949">
        <w:rPr>
          <w:i/>
          <w:iCs/>
        </w:rPr>
        <w:t>esumen</w:t>
      </w:r>
      <w:r w:rsidR="00E5485A" w:rsidRPr="00D21949">
        <w:rPr>
          <w:i/>
          <w:iCs/>
        </w:rPr>
        <w:t>:</w:t>
      </w:r>
      <w:r w:rsidR="00E5485A" w:rsidRPr="00D21949">
        <w:t xml:space="preserve"> </w:t>
      </w:r>
      <w:r w:rsidR="00276B0B" w:rsidRPr="00282D08">
        <w:t xml:space="preserve">Se traza en este trabajo una visión panorámica de la evolución normativa y jurisprudencial del delito de la mutilación genital femenina dentro del ordenamiento jurídico español. Además de instrumentos internacionales, analizamos importantes jalones legislativos como, entre otros, la </w:t>
      </w:r>
      <w:r w:rsidR="00276B0B">
        <w:t>LO</w:t>
      </w:r>
      <w:r w:rsidR="00276B0B" w:rsidRPr="00282D08">
        <w:t xml:space="preserve"> 11/2003, de 29 de septiembre, que incorporó al Código Penal la mutilación genital femenina como delito autónomo; y la </w:t>
      </w:r>
      <w:r w:rsidR="00276B0B">
        <w:t xml:space="preserve">LO </w:t>
      </w:r>
      <w:r w:rsidR="00276B0B" w:rsidRPr="00282D08">
        <w:t>1/2014, de 13 de marzo, que vinculó la jurisdicción penal española relativa a este delito al Convenio de Estambul de 2011. En el plano jurisprudencial, y amén de los correspondientes ejes probatorios—detección sanitaria y datación de la lesión—, se estudian las principales resoluciones judiciales sobre la materia a través de los argumentos considerados por la jurisprudencia: la presunción de inocencia, la eventual falta de competencia de los tribunales españoles; la justificación cultural o religiosa de la ablación; el error de prohibición, vencible o invencible, de los acusados; y la autoría por omisión derivada de la posición de garante. Se examinan, además, otras cuestiones como la prevalencia del interés superior del menor sobre el derecho a la intimidad y la posibilidad de considerar como atenuante el compromiso de reparación del daño</w:t>
      </w:r>
      <w:r w:rsidRPr="00D21949">
        <w:rPr>
          <w:rFonts w:eastAsia="Times New Roman"/>
          <w:kern w:val="0"/>
          <w:lang w:eastAsia="fr-FR"/>
          <w14:ligatures w14:val="none"/>
        </w:rPr>
        <w:t>.</w:t>
      </w:r>
    </w:p>
    <w:p w14:paraId="59F79DA8" w14:textId="1C94CE4A" w:rsidR="00855689" w:rsidRDefault="00D21949" w:rsidP="00CB6EAB">
      <w:pPr>
        <w:spacing w:before="120"/>
        <w:jc w:val="both"/>
      </w:pPr>
      <w:r w:rsidRPr="00D21949">
        <w:rPr>
          <w:i/>
          <w:iCs/>
        </w:rPr>
        <w:t>Palabras clave</w:t>
      </w:r>
      <w:r w:rsidRPr="00D21949">
        <w:t xml:space="preserve">: </w:t>
      </w:r>
      <w:r w:rsidR="00276B0B" w:rsidRPr="00282D08">
        <w:t>Mutilación genital femenina</w:t>
      </w:r>
      <w:r w:rsidR="00FA6D5E">
        <w:t>;</w:t>
      </w:r>
      <w:r w:rsidR="00276B0B" w:rsidRPr="00282D08">
        <w:t xml:space="preserve"> derecho penal</w:t>
      </w:r>
      <w:r w:rsidR="00FA6D5E">
        <w:t>;</w:t>
      </w:r>
      <w:r w:rsidR="00276B0B" w:rsidRPr="00282D08">
        <w:t xml:space="preserve"> jurisdicción penal</w:t>
      </w:r>
      <w:r w:rsidR="00FA6D5E">
        <w:t>;</w:t>
      </w:r>
      <w:r w:rsidR="00276B0B" w:rsidRPr="00282D08">
        <w:t xml:space="preserve"> Convenio de Estambul (2011)</w:t>
      </w:r>
      <w:r w:rsidR="00FA6D5E">
        <w:t>;</w:t>
      </w:r>
      <w:r w:rsidR="00276B0B" w:rsidRPr="00282D08">
        <w:t xml:space="preserve"> presunción de inocencia</w:t>
      </w:r>
      <w:r w:rsidR="00FA6D5E">
        <w:t>;</w:t>
      </w:r>
      <w:r w:rsidR="00276B0B" w:rsidRPr="00282D08">
        <w:t xml:space="preserve"> error de prohibición</w:t>
      </w:r>
      <w:r w:rsidR="00FA6D5E">
        <w:t>;</w:t>
      </w:r>
      <w:r w:rsidR="00276B0B" w:rsidRPr="00282D08">
        <w:t xml:space="preserve"> comisión por omisión</w:t>
      </w:r>
      <w:r w:rsidR="00FA6D5E">
        <w:t>;</w:t>
      </w:r>
      <w:r w:rsidR="00276B0B" w:rsidRPr="00282D08">
        <w:t xml:space="preserve"> prueba pericial médico-forense</w:t>
      </w:r>
      <w:r w:rsidR="00FA6D5E">
        <w:t>;</w:t>
      </w:r>
      <w:r w:rsidR="00276B0B" w:rsidRPr="00282D08">
        <w:t xml:space="preserve"> interés superior del menor</w:t>
      </w:r>
      <w:r w:rsidR="00421060" w:rsidRPr="00D21949">
        <w:t>.</w:t>
      </w:r>
    </w:p>
    <w:p w14:paraId="3088458B" w14:textId="77777777" w:rsidR="00CB6EAB" w:rsidRPr="00D21949" w:rsidRDefault="00CB6EAB" w:rsidP="00CB6EAB">
      <w:pPr>
        <w:spacing w:before="120"/>
        <w:jc w:val="both"/>
      </w:pPr>
    </w:p>
    <w:p w14:paraId="35F5C47D" w14:textId="77777777" w:rsidR="00855689" w:rsidRDefault="00855689" w:rsidP="00E60519">
      <w:pPr>
        <w:jc w:val="both"/>
      </w:pPr>
    </w:p>
    <w:p w14:paraId="4D10770E" w14:textId="77777777" w:rsidR="00276B0B" w:rsidRDefault="00276B0B" w:rsidP="00E60519">
      <w:pPr>
        <w:jc w:val="both"/>
      </w:pPr>
    </w:p>
    <w:p w14:paraId="1BD0FD92" w14:textId="77777777" w:rsidR="00276B0B" w:rsidRDefault="00276B0B" w:rsidP="00E60519">
      <w:pPr>
        <w:jc w:val="both"/>
      </w:pPr>
    </w:p>
    <w:p w14:paraId="018FF433" w14:textId="77777777" w:rsidR="00276B0B" w:rsidRPr="00D21949" w:rsidRDefault="00276B0B" w:rsidP="00E60519">
      <w:pPr>
        <w:jc w:val="both"/>
      </w:pPr>
    </w:p>
    <w:p w14:paraId="5F0B172A" w14:textId="037B9CB9" w:rsidR="00322D06" w:rsidRPr="00FA6D5E" w:rsidRDefault="00E5485A" w:rsidP="00322D06">
      <w:pPr>
        <w:jc w:val="both"/>
        <w:rPr>
          <w:lang w:val="en-GB"/>
        </w:rPr>
      </w:pPr>
      <w:r w:rsidRPr="00FA6D5E">
        <w:rPr>
          <w:i/>
          <w:iCs/>
          <w:lang w:val="en-GB"/>
        </w:rPr>
        <w:lastRenderedPageBreak/>
        <w:t>A</w:t>
      </w:r>
      <w:r w:rsidR="00E60519" w:rsidRPr="00FA6D5E">
        <w:rPr>
          <w:i/>
          <w:iCs/>
          <w:lang w:val="en-GB"/>
        </w:rPr>
        <w:t>bstract</w:t>
      </w:r>
      <w:r w:rsidRPr="00FA6D5E">
        <w:rPr>
          <w:i/>
          <w:iCs/>
          <w:lang w:val="en-GB"/>
        </w:rPr>
        <w:t>:</w:t>
      </w:r>
      <w:r w:rsidRPr="00FA6D5E">
        <w:rPr>
          <w:lang w:val="en-GB"/>
        </w:rPr>
        <w:t xml:space="preserve"> </w:t>
      </w:r>
      <w:r w:rsidR="00276B0B" w:rsidRPr="00282D08">
        <w:rPr>
          <w:lang w:val="en-GB"/>
        </w:rPr>
        <w:t>This article offers a panoramic account of how Spanish law and case-law have addressed female genital mutilation as a criminal offence. It traces key legislative milestones—among them Organic Law 11/2003, which established FGM as an autonomous offence in the Criminal Code, and Organic Law 1/2014, which anchored Spanish criminal jurisdiction in the 2011 Istanbul Convention. On the jurisprudential plane, beyond the core evidentiary strands of healthcare detection, lesion dating, and forensic expert opinion, the study surveys leading decisions through the arguments weighed by the courts: the presumption of innocence; potential limits on Spanish jurisdiction; cultural or religious justification; mistake of law; and omission-based liability arising from a guarantor’s duty. It also considers further issues such as the primacy of the child’s best interests over privacy rights and the possibility of treating a commitment to repair the harm as a mitigating factor</w:t>
      </w:r>
      <w:r w:rsidR="00322D06" w:rsidRPr="00FA6D5E">
        <w:rPr>
          <w:lang w:val="en-GB"/>
        </w:rPr>
        <w:t>.</w:t>
      </w:r>
    </w:p>
    <w:p w14:paraId="5D23832E" w14:textId="1E890E3C" w:rsidR="00276B0B" w:rsidRDefault="00E60519" w:rsidP="00CB6EAB">
      <w:pPr>
        <w:spacing w:before="120"/>
        <w:jc w:val="both"/>
        <w:rPr>
          <w:lang w:val="en-GB"/>
        </w:rPr>
      </w:pPr>
      <w:r w:rsidRPr="00FA6D5E">
        <w:rPr>
          <w:i/>
          <w:iCs/>
          <w:lang w:val="en-GB"/>
        </w:rPr>
        <w:t>Keywords:</w:t>
      </w:r>
      <w:r w:rsidR="00855689" w:rsidRPr="00FA6D5E">
        <w:rPr>
          <w:lang w:val="en-GB"/>
        </w:rPr>
        <w:t xml:space="preserve"> </w:t>
      </w:r>
      <w:r w:rsidR="00276B0B" w:rsidRPr="00282D08">
        <w:rPr>
          <w:lang w:val="en-GB"/>
        </w:rPr>
        <w:t>Female genital mutilation</w:t>
      </w:r>
      <w:r w:rsidR="00FA6D5E">
        <w:rPr>
          <w:lang w:val="en-GB"/>
        </w:rPr>
        <w:t>;</w:t>
      </w:r>
      <w:r w:rsidR="00276B0B" w:rsidRPr="00282D08">
        <w:rPr>
          <w:lang w:val="en-GB"/>
        </w:rPr>
        <w:t xml:space="preserve"> penal law</w:t>
      </w:r>
      <w:r w:rsidR="00FA6D5E">
        <w:rPr>
          <w:lang w:val="en-GB"/>
        </w:rPr>
        <w:t>;</w:t>
      </w:r>
      <w:r w:rsidR="00276B0B" w:rsidRPr="00282D08">
        <w:rPr>
          <w:lang w:val="en-GB"/>
        </w:rPr>
        <w:t xml:space="preserve"> jurisdiction in criminal matters</w:t>
      </w:r>
      <w:r w:rsidR="00FA6D5E">
        <w:rPr>
          <w:lang w:val="en-GB"/>
        </w:rPr>
        <w:t>;</w:t>
      </w:r>
      <w:r w:rsidR="00276B0B" w:rsidRPr="00282D08">
        <w:rPr>
          <w:lang w:val="en-GB"/>
        </w:rPr>
        <w:t xml:space="preserve"> Istanbul Convention (2011)</w:t>
      </w:r>
      <w:r w:rsidR="00FA6D5E">
        <w:rPr>
          <w:lang w:val="en-GB"/>
        </w:rPr>
        <w:t>;</w:t>
      </w:r>
      <w:r w:rsidR="00276B0B" w:rsidRPr="00282D08">
        <w:rPr>
          <w:lang w:val="en-GB"/>
        </w:rPr>
        <w:t xml:space="preserve"> presumption of innocence</w:t>
      </w:r>
      <w:r w:rsidR="00FA6D5E">
        <w:rPr>
          <w:lang w:val="en-GB"/>
        </w:rPr>
        <w:t>;</w:t>
      </w:r>
      <w:r w:rsidR="00276B0B" w:rsidRPr="00282D08">
        <w:rPr>
          <w:lang w:val="en-GB"/>
        </w:rPr>
        <w:t xml:space="preserve"> mistake of law</w:t>
      </w:r>
      <w:r w:rsidR="00FA6D5E">
        <w:rPr>
          <w:lang w:val="en-GB"/>
        </w:rPr>
        <w:t>;</w:t>
      </w:r>
      <w:r w:rsidR="00276B0B" w:rsidRPr="00282D08">
        <w:rPr>
          <w:lang w:val="en-GB"/>
        </w:rPr>
        <w:t xml:space="preserve"> omission liability</w:t>
      </w:r>
      <w:r w:rsidR="00FA6D5E">
        <w:rPr>
          <w:lang w:val="en-GB"/>
        </w:rPr>
        <w:t>;</w:t>
      </w:r>
      <w:r w:rsidR="00276B0B" w:rsidRPr="00282D08">
        <w:rPr>
          <w:lang w:val="en-GB"/>
        </w:rPr>
        <w:t xml:space="preserve"> forensic expert evidence</w:t>
      </w:r>
      <w:r w:rsidR="00FA6D5E">
        <w:rPr>
          <w:lang w:val="en-GB"/>
        </w:rPr>
        <w:t>;</w:t>
      </w:r>
      <w:r w:rsidR="00276B0B" w:rsidRPr="00282D08">
        <w:rPr>
          <w:lang w:val="en-GB"/>
        </w:rPr>
        <w:t xml:space="preserve"> best interests of the child</w:t>
      </w:r>
      <w:r w:rsidR="00276B0B">
        <w:rPr>
          <w:lang w:val="en-GB"/>
        </w:rPr>
        <w:t>.</w:t>
      </w:r>
    </w:p>
    <w:p w14:paraId="7554514E" w14:textId="77777777" w:rsidR="00276B0B" w:rsidRDefault="00276B0B" w:rsidP="00CB6EAB">
      <w:pPr>
        <w:spacing w:before="120"/>
        <w:jc w:val="both"/>
        <w:rPr>
          <w:lang w:val="en-GB"/>
        </w:rPr>
      </w:pPr>
    </w:p>
    <w:p w14:paraId="6A4E537B" w14:textId="77777777" w:rsidR="00276B0B" w:rsidRDefault="00276B0B" w:rsidP="00CB6EAB">
      <w:pPr>
        <w:spacing w:before="120"/>
        <w:jc w:val="both"/>
        <w:rPr>
          <w:lang w:val="en-GB"/>
        </w:rPr>
      </w:pPr>
    </w:p>
    <w:p w14:paraId="5794588F" w14:textId="77777777" w:rsidR="00276B0B" w:rsidRDefault="00276B0B" w:rsidP="00CB6EAB">
      <w:pPr>
        <w:spacing w:before="120"/>
        <w:jc w:val="both"/>
        <w:rPr>
          <w:lang w:val="en-GB"/>
        </w:rPr>
      </w:pPr>
    </w:p>
    <w:p w14:paraId="7E940ECD" w14:textId="77777777" w:rsidR="00276B0B" w:rsidRDefault="00276B0B" w:rsidP="00CB6EAB">
      <w:pPr>
        <w:spacing w:before="120"/>
        <w:jc w:val="both"/>
        <w:rPr>
          <w:lang w:val="en-GB"/>
        </w:rPr>
      </w:pPr>
    </w:p>
    <w:p w14:paraId="17E26C22" w14:textId="77777777" w:rsidR="00276B0B" w:rsidRDefault="00276B0B" w:rsidP="00CB6EAB">
      <w:pPr>
        <w:spacing w:before="120"/>
        <w:jc w:val="both"/>
        <w:rPr>
          <w:lang w:val="en-GB"/>
        </w:rPr>
      </w:pPr>
    </w:p>
    <w:p w14:paraId="176CD1F8" w14:textId="77777777" w:rsidR="00276B0B" w:rsidRDefault="00276B0B" w:rsidP="00CB6EAB">
      <w:pPr>
        <w:spacing w:before="120"/>
        <w:jc w:val="both"/>
        <w:rPr>
          <w:lang w:val="en-GB"/>
        </w:rPr>
      </w:pPr>
    </w:p>
    <w:p w14:paraId="0ECD9D91" w14:textId="77777777" w:rsidR="00276B0B" w:rsidRDefault="00276B0B" w:rsidP="00CB6EAB">
      <w:pPr>
        <w:spacing w:before="120"/>
        <w:jc w:val="both"/>
        <w:rPr>
          <w:lang w:val="en-GB"/>
        </w:rPr>
      </w:pPr>
    </w:p>
    <w:p w14:paraId="20E054C0" w14:textId="77777777" w:rsidR="00276B0B" w:rsidRDefault="00276B0B" w:rsidP="00CB6EAB">
      <w:pPr>
        <w:spacing w:before="120"/>
        <w:jc w:val="both"/>
        <w:rPr>
          <w:lang w:val="en-GB"/>
        </w:rPr>
      </w:pPr>
    </w:p>
    <w:p w14:paraId="3C6A89EC" w14:textId="77777777" w:rsidR="00276B0B" w:rsidRDefault="00276B0B" w:rsidP="00CB6EAB">
      <w:pPr>
        <w:spacing w:before="120"/>
        <w:jc w:val="both"/>
        <w:rPr>
          <w:lang w:val="en-GB"/>
        </w:rPr>
      </w:pPr>
    </w:p>
    <w:p w14:paraId="735EB0C4" w14:textId="77777777" w:rsidR="00276B0B" w:rsidRDefault="00276B0B" w:rsidP="00CB6EAB">
      <w:pPr>
        <w:spacing w:before="120"/>
        <w:jc w:val="both"/>
        <w:rPr>
          <w:lang w:val="en-GB"/>
        </w:rPr>
      </w:pPr>
    </w:p>
    <w:p w14:paraId="11983275" w14:textId="77777777" w:rsidR="00276B0B" w:rsidRDefault="00276B0B" w:rsidP="00CB6EAB">
      <w:pPr>
        <w:spacing w:before="120"/>
        <w:jc w:val="both"/>
        <w:rPr>
          <w:lang w:val="en-GB"/>
        </w:rPr>
      </w:pPr>
    </w:p>
    <w:p w14:paraId="70B4992F" w14:textId="77777777" w:rsidR="00276B0B" w:rsidRDefault="00276B0B" w:rsidP="00CB6EAB">
      <w:pPr>
        <w:spacing w:before="120"/>
        <w:jc w:val="both"/>
        <w:rPr>
          <w:lang w:val="en-GB"/>
        </w:rPr>
      </w:pPr>
    </w:p>
    <w:p w14:paraId="6401FE21" w14:textId="77777777" w:rsidR="00276B0B" w:rsidRDefault="00276B0B" w:rsidP="00CB6EAB">
      <w:pPr>
        <w:spacing w:before="120"/>
        <w:jc w:val="both"/>
        <w:rPr>
          <w:lang w:val="en-GB"/>
        </w:rPr>
      </w:pPr>
    </w:p>
    <w:p w14:paraId="15ECD768" w14:textId="77777777" w:rsidR="00276B0B" w:rsidRDefault="00276B0B" w:rsidP="00CB6EAB">
      <w:pPr>
        <w:spacing w:before="120"/>
        <w:jc w:val="both"/>
        <w:rPr>
          <w:lang w:val="en-GB"/>
        </w:rPr>
      </w:pPr>
    </w:p>
    <w:p w14:paraId="20A3F801" w14:textId="77777777" w:rsidR="00276B0B" w:rsidRDefault="00276B0B" w:rsidP="00CB6EAB">
      <w:pPr>
        <w:spacing w:before="120"/>
        <w:jc w:val="both"/>
        <w:rPr>
          <w:lang w:val="en-GB"/>
        </w:rPr>
      </w:pPr>
    </w:p>
    <w:p w14:paraId="1321FA63" w14:textId="77777777" w:rsidR="00276B0B" w:rsidRDefault="00276B0B" w:rsidP="00CB6EAB">
      <w:pPr>
        <w:spacing w:before="120"/>
        <w:jc w:val="both"/>
        <w:rPr>
          <w:lang w:val="en-GB"/>
        </w:rPr>
      </w:pPr>
    </w:p>
    <w:p w14:paraId="2AAE3B7E" w14:textId="77777777" w:rsidR="00276B0B" w:rsidRDefault="00276B0B" w:rsidP="00CB6EAB">
      <w:pPr>
        <w:spacing w:before="120"/>
        <w:jc w:val="both"/>
        <w:rPr>
          <w:lang w:val="en-GB"/>
        </w:rPr>
      </w:pPr>
    </w:p>
    <w:p w14:paraId="536CCA5B" w14:textId="77777777" w:rsidR="00276B0B" w:rsidRDefault="00276B0B" w:rsidP="00CB6EAB">
      <w:pPr>
        <w:spacing w:before="120"/>
        <w:jc w:val="both"/>
        <w:rPr>
          <w:lang w:val="en-GB"/>
        </w:rPr>
      </w:pPr>
    </w:p>
    <w:p w14:paraId="69B1B000" w14:textId="77777777" w:rsidR="00276B0B" w:rsidRDefault="00276B0B" w:rsidP="00CB6EAB">
      <w:pPr>
        <w:spacing w:before="120"/>
        <w:jc w:val="both"/>
        <w:rPr>
          <w:lang w:val="en-GB"/>
        </w:rPr>
      </w:pPr>
    </w:p>
    <w:p w14:paraId="562464E0" w14:textId="77777777" w:rsidR="00276B0B" w:rsidRDefault="00276B0B" w:rsidP="00CB6EAB">
      <w:pPr>
        <w:spacing w:before="120"/>
        <w:jc w:val="both"/>
        <w:rPr>
          <w:lang w:val="en-GB"/>
        </w:rPr>
      </w:pPr>
    </w:p>
    <w:p w14:paraId="7C48A67E" w14:textId="77777777" w:rsidR="00276B0B" w:rsidRDefault="00276B0B" w:rsidP="00CB6EAB">
      <w:pPr>
        <w:spacing w:before="120"/>
        <w:jc w:val="both"/>
        <w:rPr>
          <w:lang w:val="en-GB"/>
        </w:rPr>
      </w:pPr>
    </w:p>
    <w:p w14:paraId="41097422" w14:textId="0A282BC9" w:rsidR="00C82660" w:rsidRPr="00FA6D5E" w:rsidRDefault="00C82660" w:rsidP="00CB6EAB">
      <w:pPr>
        <w:spacing w:before="120"/>
        <w:jc w:val="both"/>
        <w:rPr>
          <w:lang w:val="en-GB"/>
        </w:rPr>
      </w:pPr>
    </w:p>
    <w:p w14:paraId="42677BE1" w14:textId="563AF3A1" w:rsidR="00706AB1" w:rsidRPr="00D21949" w:rsidRDefault="008F6988" w:rsidP="00A22CDF">
      <w:pPr>
        <w:spacing w:line="360" w:lineRule="auto"/>
        <w:ind w:left="708"/>
        <w:jc w:val="both"/>
        <w:rPr>
          <w:smallCaps/>
        </w:rPr>
      </w:pPr>
      <w:r w:rsidRPr="00D21949">
        <w:rPr>
          <w:smallCaps/>
        </w:rPr>
        <w:lastRenderedPageBreak/>
        <w:t xml:space="preserve">1. </w:t>
      </w:r>
      <w:r w:rsidR="0053247B" w:rsidRPr="00DA265A">
        <w:rPr>
          <w:smallCaps/>
        </w:rPr>
        <w:t>Introducción</w:t>
      </w:r>
    </w:p>
    <w:p w14:paraId="2CA16426" w14:textId="77777777" w:rsidR="0033671B" w:rsidRDefault="0033671B" w:rsidP="0033671B">
      <w:pPr>
        <w:spacing w:before="120" w:line="360" w:lineRule="auto"/>
        <w:ind w:firstLine="709"/>
        <w:jc w:val="both"/>
      </w:pPr>
      <w:bookmarkStart w:id="0" w:name="RTC_1981_5_F.10"/>
      <w:bookmarkStart w:id="1" w:name="RTC_1981_5_F.9"/>
      <w:r>
        <w:t xml:space="preserve">Pese a la relevancia jurídica que, </w:t>
      </w:r>
      <w:r w:rsidRPr="006823C0">
        <w:rPr>
          <w:i/>
        </w:rPr>
        <w:t>ex</w:t>
      </w:r>
      <w:r>
        <w:t xml:space="preserve"> art. 149.2 CP, se le ha conferido como delito autónomo dentro del correspondiente título de las lesiones, lo cierto es que, hasta hace relativamente poco tiempo, la mutilación genital femenina ha aparecido</w:t>
      </w:r>
      <w:r w:rsidRPr="00F0428F">
        <w:t xml:space="preserve"> como una realidad </w:t>
      </w:r>
      <w:r w:rsidRPr="00877F47">
        <w:rPr>
          <w:bCs/>
        </w:rPr>
        <w:t>estadísticamente minoritaria</w:t>
      </w:r>
      <w:r w:rsidRPr="00F0428F">
        <w:rPr>
          <w:b/>
          <w:bCs/>
        </w:rPr>
        <w:t xml:space="preserve"> </w:t>
      </w:r>
      <w:r>
        <w:rPr>
          <w:bCs/>
        </w:rPr>
        <w:t>en España</w:t>
      </w:r>
      <w:r>
        <w:rPr>
          <w:rStyle w:val="Rimandonotaapidipagina"/>
          <w:bCs/>
        </w:rPr>
        <w:footnoteReference w:id="1"/>
      </w:r>
      <w:r>
        <w:rPr>
          <w:bCs/>
        </w:rPr>
        <w:t>. De ahí que, a tenor de los datos ofrecidos por el Gobierno</w:t>
      </w:r>
      <w:r>
        <w:t>, se haya afirmado</w:t>
      </w:r>
      <w:r w:rsidRPr="00706FDB">
        <w:t xml:space="preserve"> “</w:t>
      </w:r>
      <w:r w:rsidRPr="006703F7">
        <w:rPr>
          <w:i/>
        </w:rPr>
        <w:t>la marginalidad y excepcionalidad del fenómeno</w:t>
      </w:r>
      <w:r w:rsidRPr="00706FDB">
        <w:t>”</w:t>
      </w:r>
      <w:r w:rsidRPr="005A0258">
        <w:rPr>
          <w:rStyle w:val="Rimandonotaapidipagina"/>
        </w:rPr>
        <w:t xml:space="preserve"> </w:t>
      </w:r>
      <w:r>
        <w:rPr>
          <w:rStyle w:val="Rimandonotaapidipagina"/>
        </w:rPr>
        <w:footnoteReference w:id="2"/>
      </w:r>
      <w:r w:rsidRPr="00706FDB">
        <w:t xml:space="preserve">. </w:t>
      </w:r>
    </w:p>
    <w:p w14:paraId="468BDFA5" w14:textId="77777777" w:rsidR="0033671B" w:rsidRDefault="0033671B" w:rsidP="0033671B">
      <w:pPr>
        <w:spacing w:line="360" w:lineRule="auto"/>
        <w:ind w:firstLine="709"/>
        <w:jc w:val="both"/>
      </w:pPr>
      <w:r>
        <w:t xml:space="preserve">Empero y a juzgar por otras fuentes periodísticas, estas cifras contrastan con un presunto repunte registrado en el territorio de las Islas Canarias, cuya </w:t>
      </w:r>
      <w:r w:rsidRPr="006A218E">
        <w:t>creciente población migrante</w:t>
      </w:r>
      <w:r>
        <w:t xml:space="preserve"> proveniente de países donde la ablación sigue siendo una práctica habitual, ha elevado a más de 70</w:t>
      </w:r>
      <w:r w:rsidRPr="00156925">
        <w:t xml:space="preserve"> </w:t>
      </w:r>
      <w:r>
        <w:t xml:space="preserve">los </w:t>
      </w:r>
      <w:r w:rsidRPr="00156925">
        <w:t xml:space="preserve">casos </w:t>
      </w:r>
      <w:r>
        <w:t xml:space="preserve">recientemente </w:t>
      </w:r>
      <w:r w:rsidRPr="00156925">
        <w:t>detectados por</w:t>
      </w:r>
      <w:r>
        <w:t xml:space="preserve"> el Servicio de Salud. La ginecóloga y técnica de la Dirección General de Programas Asistenciales,</w:t>
      </w:r>
      <w:r>
        <w:rPr>
          <w:rStyle w:val="Rimandonotaapidipagina"/>
        </w:rPr>
        <w:t xml:space="preserve"> </w:t>
      </w:r>
      <w:r>
        <w:t xml:space="preserve">Yaiza Schamann, afirma que no consta que la mutilación se haya practicado en Canarias, sino en los países de origen, como </w:t>
      </w:r>
      <w:r w:rsidRPr="0034737A">
        <w:t>Senegal, Mauritania, Nigeria, Guinea, Guinea-Bis</w:t>
      </w:r>
      <w:r>
        <w:t>sau, Ghana, Mali y Sierra Leona, si bien se detecta cuando las víctimas llegan a España</w:t>
      </w:r>
      <w:r>
        <w:rPr>
          <w:rStyle w:val="Rimandonotaapidipagina"/>
        </w:rPr>
        <w:footnoteReference w:id="3"/>
      </w:r>
      <w:r>
        <w:t xml:space="preserve">. </w:t>
      </w:r>
    </w:p>
    <w:p w14:paraId="7DDA0D21" w14:textId="7F0F8E9C" w:rsidR="0053247B" w:rsidRDefault="0033671B" w:rsidP="0033671B">
      <w:pPr>
        <w:spacing w:line="360" w:lineRule="auto"/>
        <w:ind w:firstLine="709"/>
        <w:jc w:val="both"/>
        <w:rPr>
          <w:rFonts w:eastAsia="Times New Roman"/>
          <w:kern w:val="0"/>
          <w:szCs w:val="22"/>
          <w:lang w:eastAsia="es-ES"/>
          <w14:ligatures w14:val="none"/>
        </w:rPr>
      </w:pPr>
      <w:r>
        <w:t xml:space="preserve">Acuñada por la Organización Mundial de la Salud, la expresión “mutilación genital femenina”, designa un conjunto de procedimientos que implican la extirpación, lesión o modificación de los genitales externos de niñas y mujeres por motivos ajenos a toda indicación médica. Se trata de una práctica arraigada en diversas comunidades del África subsahariana y del noreste de África, así como en ciertas regiones de Oriente Próximo. Su presencia en países europeos se explica principalmente, ya por las dinámicas migratorias familiares, ya por estancias temporales de niñas y adolescentes en los territorios familiares de origen. Las razones que suelen invocarse para su práctica son múltiples y heterogéneas, si bien pivotan todas ellas sobre una regulación limitativa de la sexualidad femenina propia de sociedades marcadamente patriarcales. Se asocia la </w:t>
      </w:r>
      <w:r>
        <w:lastRenderedPageBreak/>
        <w:t>mutilación a ideales de pureza y docilidad; de reducción del deseo sexual de la víctima, de contención de la promiscuidad femenina y, por ende, de garantía de la filiación dentro del matrimonio; pero también a ritos iniciáticos ligados a una identidad grupal, de incorporación de la niña en la vida social de la comunidad a la que pertenece; y a la atribución a la mujer de una determinada función estrictamente reproductora en el seno de la sociedad y la familia. Ni que decir tiene que las secuelas orgánicas que llevan aparejadas estas prácticas son considerables, especialmente en aquellos casos, relativamente frecuentes, en que se realizan en medios no sanitarios, con instrumentos rudimentarios, sin anestesia ni condiciones de asepsia. Súmense a ellas, los efectos psicológicos adversos, como la ansiedad o síntomas depresivos. En el ámbito de la sexualidad, la literatura clínica reporta una elevada prevalencia de dificultades para el deseo y la excitación, dolor en las relaciones y, en no pocos casos, anorgasmia</w:t>
      </w:r>
      <w:r w:rsidR="0053247B" w:rsidRPr="0053247B">
        <w:rPr>
          <w:rFonts w:eastAsia="Times New Roman"/>
          <w:kern w:val="0"/>
          <w:szCs w:val="22"/>
          <w:lang w:eastAsia="es-ES"/>
          <w14:ligatures w14:val="none"/>
        </w:rPr>
        <w:t>.</w:t>
      </w:r>
    </w:p>
    <w:p w14:paraId="5423B9B3" w14:textId="77777777" w:rsidR="0033671B" w:rsidRDefault="0033671B" w:rsidP="0033671B">
      <w:pPr>
        <w:spacing w:line="360" w:lineRule="auto"/>
        <w:ind w:firstLine="709"/>
        <w:jc w:val="both"/>
        <w:rPr>
          <w:rFonts w:eastAsia="Times New Roman"/>
          <w:kern w:val="0"/>
          <w:szCs w:val="22"/>
          <w:lang w:eastAsia="es-ES"/>
          <w14:ligatures w14:val="none"/>
        </w:rPr>
      </w:pPr>
    </w:p>
    <w:p w14:paraId="5AC9C0AC" w14:textId="77777777" w:rsidR="0033671B" w:rsidRDefault="0033671B" w:rsidP="0033671B">
      <w:pPr>
        <w:spacing w:line="360" w:lineRule="auto"/>
        <w:ind w:firstLine="709"/>
        <w:jc w:val="both"/>
        <w:rPr>
          <w:rFonts w:eastAsia="Times New Roman"/>
          <w:kern w:val="0"/>
          <w:szCs w:val="22"/>
          <w:lang w:eastAsia="es-ES"/>
          <w14:ligatures w14:val="none"/>
        </w:rPr>
      </w:pPr>
    </w:p>
    <w:bookmarkEnd w:id="0"/>
    <w:bookmarkEnd w:id="1"/>
    <w:p w14:paraId="27EF4DFC" w14:textId="5CA75D5A" w:rsidR="00A0796B" w:rsidRPr="00D21949" w:rsidRDefault="00C51450" w:rsidP="00C7075A">
      <w:pPr>
        <w:spacing w:line="360" w:lineRule="auto"/>
        <w:jc w:val="both"/>
        <w:rPr>
          <w:rFonts w:eastAsia="Times New Roman"/>
          <w:smallCaps/>
          <w:kern w:val="0"/>
          <w:szCs w:val="22"/>
          <w:lang w:eastAsia="es-ES"/>
          <w14:ligatures w14:val="none"/>
        </w:rPr>
      </w:pPr>
      <w:r w:rsidRPr="00D21949">
        <w:t xml:space="preserve">            </w:t>
      </w:r>
      <w:r w:rsidR="00C7075A" w:rsidRPr="00D21949">
        <w:rPr>
          <w:smallCaps/>
        </w:rPr>
        <w:t xml:space="preserve">2. </w:t>
      </w:r>
      <w:r w:rsidR="0033671B" w:rsidRPr="0033671B">
        <w:rPr>
          <w:smallCaps/>
        </w:rPr>
        <w:t>Evolución normativa en el ordenamiento jurídico español</w:t>
      </w:r>
    </w:p>
    <w:p w14:paraId="0327F4F9" w14:textId="77777777" w:rsidR="0033671B" w:rsidRPr="0033671B" w:rsidRDefault="0033671B" w:rsidP="0033671B">
      <w:pPr>
        <w:spacing w:before="120" w:line="360" w:lineRule="auto"/>
        <w:ind w:firstLine="709"/>
        <w:jc w:val="both"/>
      </w:pPr>
      <w:r w:rsidRPr="0033671B">
        <w:t xml:space="preserve">Debido seguramente a la escasa incidencia, hasta la fecha, de la mutilación genital femenina en España, lo cierto es que el ordenamiento jurídico español ha venido siendo, desde el comienzo de la década de los años ochenta del siglo XX, reflejo y consecuencia de diversas iniciativas internacionales que han tenido como hito principal su tipificación como delito autónomo en 2003. Además de las fuentes legales internas, revisten, pues, una gran importancia los instrumentos internacionales, especialmente aquellos tratados que, por mor de su expresa ratificación, han pasado a formar parte del ordenamiento jurídico español. </w:t>
      </w:r>
    </w:p>
    <w:p w14:paraId="2EED9E6B" w14:textId="77777777" w:rsidR="0033671B" w:rsidRPr="0033671B" w:rsidRDefault="0033671B" w:rsidP="0033671B">
      <w:pPr>
        <w:spacing w:line="360" w:lineRule="auto"/>
        <w:ind w:firstLine="709"/>
        <w:jc w:val="both"/>
      </w:pPr>
      <w:r w:rsidRPr="0033671B">
        <w:t>Entre estos tratados, cabe destacar por su carácter pionero y por su vocación normativa universal la Convención de las Naciones Unidas sobre la Eliminación de Todas las Formas de Discriminación contra la Mujer, más conocida como CEDAW (</w:t>
      </w:r>
      <w:r w:rsidRPr="0033671B">
        <w:rPr>
          <w:i/>
        </w:rPr>
        <w:t>Convention on the Elimination of All Forms of Discrimination against Women</w:t>
      </w:r>
      <w:r w:rsidRPr="0033671B">
        <w:t xml:space="preserve">), que fue adoptada por la Asamblea General el </w:t>
      </w:r>
      <w:r w:rsidRPr="0033671B">
        <w:rPr>
          <w:bCs/>
        </w:rPr>
        <w:t>18 de diciembre de 1979</w:t>
      </w:r>
      <w:r w:rsidRPr="0033671B">
        <w:t xml:space="preserve"> y posteriormente </w:t>
      </w:r>
      <w:r w:rsidRPr="0033671B">
        <w:rPr>
          <w:bCs/>
        </w:rPr>
        <w:t>ratificada por España el 16 de diciembre de 1983</w:t>
      </w:r>
      <w:r w:rsidRPr="0033671B">
        <w:t xml:space="preserve">. Su </w:t>
      </w:r>
      <w:r w:rsidRPr="0033671B">
        <w:rPr>
          <w:bCs/>
        </w:rPr>
        <w:t>art.5</w:t>
      </w:r>
      <w:r w:rsidRPr="0033671B">
        <w:t xml:space="preserve"> impone a los estados parte la obligación de </w:t>
      </w:r>
      <w:r w:rsidRPr="0033671B">
        <w:rPr>
          <w:bCs/>
        </w:rPr>
        <w:t>modificar los patrones socioculturales de conducta</w:t>
      </w:r>
      <w:r w:rsidRPr="0033671B">
        <w:t xml:space="preserve"> de hombres y mujeres, a fin de </w:t>
      </w:r>
      <w:r w:rsidRPr="0033671B">
        <w:rPr>
          <w:bCs/>
        </w:rPr>
        <w:t>eliminar prejuicios, usos y prácticas consuetudinarias</w:t>
      </w:r>
      <w:r w:rsidRPr="0033671B">
        <w:t xml:space="preserve"> fundados en la supuesta inferioridad o </w:t>
      </w:r>
      <w:r w:rsidRPr="0033671B">
        <w:lastRenderedPageBreak/>
        <w:t>superioridad de uno u otro sexo o en roles estereotipados. En lo atinente a la mutilación genital femenina, ello reviste una notable importancia, pues ha permitido calificar su práctica como discriminatoria y lesiva y, por ello, impetrar su erradicación a los estados parte tanto desde una perspectiva jurídico penal, como desde el ángulo de las políticas educativas y sanitarias</w:t>
      </w:r>
      <w:r w:rsidRPr="0033671B">
        <w:rPr>
          <w:vertAlign w:val="superscript"/>
        </w:rPr>
        <w:footnoteReference w:id="4"/>
      </w:r>
      <w:r w:rsidRPr="0033671B">
        <w:t xml:space="preserve">. </w:t>
      </w:r>
    </w:p>
    <w:p w14:paraId="6CE33DEC" w14:textId="77777777" w:rsidR="0033671B" w:rsidRPr="0033671B" w:rsidRDefault="0033671B" w:rsidP="0033671B">
      <w:pPr>
        <w:spacing w:line="360" w:lineRule="auto"/>
        <w:ind w:firstLine="709"/>
        <w:jc w:val="both"/>
      </w:pPr>
      <w:r w:rsidRPr="0033671B">
        <w:t>Pese a su carácter no vinculante, también merece citarse la Declaración de las Naciones Unidas sobre la eliminación de todas las formas de intolerancia y discriminación fundadas en la religión o las convicciones, de 25 de noviembre de 1981, en tanto en cuanto ofrece un criterio hermenéutico nítido para excluir cualquier pretendida justificación religiosa de la ablación. Si bien la Declaración salvaguarda la libertad de pensamiento, de conciencia y de religión</w:t>
      </w:r>
      <w:r w:rsidRPr="0033671B">
        <w:rPr>
          <w:vertAlign w:val="superscript"/>
        </w:rPr>
        <w:footnoteReference w:id="5"/>
      </w:r>
      <w:r w:rsidRPr="0033671B">
        <w:t>, subraya que su ejercicio no ampara prácticas que lesionen derechos fundamentales</w:t>
      </w:r>
      <w:r w:rsidRPr="0033671B">
        <w:rPr>
          <w:vertAlign w:val="superscript"/>
        </w:rPr>
        <w:footnoteReference w:id="6"/>
      </w:r>
      <w:r w:rsidRPr="0033671B">
        <w:t xml:space="preserve">, lo cual conlleva que no puede erigirse en cobertura de discriminaciones. Trasladado a nuestro ordenamiento y en lo que respecta a la mutilación genital femenina, ello reforzaría la lectura constitucional que hace prevalecer </w:t>
      </w:r>
      <w:r w:rsidRPr="0033671B">
        <w:lastRenderedPageBreak/>
        <w:t>la dignidad de la persona</w:t>
      </w:r>
      <w:r w:rsidRPr="0033671B">
        <w:rPr>
          <w:vertAlign w:val="superscript"/>
        </w:rPr>
        <w:footnoteReference w:id="7"/>
      </w:r>
      <w:r w:rsidRPr="0033671B">
        <w:t xml:space="preserve"> y la integridad física</w:t>
      </w:r>
      <w:r w:rsidRPr="0033671B">
        <w:rPr>
          <w:vertAlign w:val="superscript"/>
        </w:rPr>
        <w:footnoteReference w:id="8"/>
      </w:r>
      <w:r w:rsidRPr="0033671B">
        <w:t xml:space="preserve">  frente a usos consuetudinarios o creencias que perpetúen la subordinación de las mujeres. </w:t>
      </w:r>
    </w:p>
    <w:p w14:paraId="64CB696A" w14:textId="77777777" w:rsidR="0033671B" w:rsidRPr="0033671B" w:rsidRDefault="0033671B" w:rsidP="0033671B">
      <w:pPr>
        <w:spacing w:line="360" w:lineRule="auto"/>
        <w:ind w:firstLine="709"/>
        <w:jc w:val="both"/>
      </w:pPr>
      <w:r w:rsidRPr="0033671B">
        <w:t>Por su invocación expresa en algunas de las resoluciones judiciales que más abajo analizaremos, merece también ser citada la LO 4/2000, cuyo art.3.2 dejó sentado que, si bien los extranjeros gozarán en España de los derechos y libertades reconocidos constitucionales, ello nunca será óbice para alegar la profesión de creencias religiosas o convicciones ideológicas o culturales como justificación de la realización de actos o conductas contrarios a la Declaración Universal de Derechos Humanos</w:t>
      </w:r>
      <w:r w:rsidRPr="0033671B">
        <w:rPr>
          <w:vertAlign w:val="superscript"/>
        </w:rPr>
        <w:footnoteReference w:id="9"/>
      </w:r>
      <w:r w:rsidRPr="0033671B">
        <w:t xml:space="preserve">. </w:t>
      </w:r>
    </w:p>
    <w:p w14:paraId="6A97E9E3" w14:textId="77777777" w:rsidR="0033671B" w:rsidRPr="0033671B" w:rsidRDefault="0033671B" w:rsidP="0033671B">
      <w:pPr>
        <w:spacing w:line="360" w:lineRule="auto"/>
        <w:ind w:firstLine="709"/>
        <w:jc w:val="both"/>
      </w:pPr>
      <w:r w:rsidRPr="0033671B">
        <w:t xml:space="preserve">En clave europea y con una proyección inmediata sobre el marco español, la </w:t>
      </w:r>
      <w:r w:rsidRPr="0033671B">
        <w:rPr>
          <w:bCs/>
        </w:rPr>
        <w:t>Resolución del Parlamento Europeo sobre las mutilaciones genitales femeninas</w:t>
      </w:r>
      <w:r w:rsidRPr="0033671B">
        <w:rPr>
          <w:b/>
          <w:bCs/>
        </w:rPr>
        <w:t xml:space="preserve"> </w:t>
      </w:r>
      <w:r w:rsidRPr="0033671B">
        <w:rPr>
          <w:bCs/>
        </w:rPr>
        <w:t>(2001/2035 (INI), 20 de septiembre de 2001)</w:t>
      </w:r>
      <w:r w:rsidRPr="0033671B">
        <w:t xml:space="preserve"> calificó la mutilación genital femenina como una </w:t>
      </w:r>
      <w:r w:rsidRPr="0033671B">
        <w:rPr>
          <w:bCs/>
        </w:rPr>
        <w:t>grave violación de los derechos humanos</w:t>
      </w:r>
      <w:r w:rsidRPr="0033671B">
        <w:t xml:space="preserve"> y reclamó una estrategia integral que combinara prevención, protección y sanción. Partiendo de la premisa de que </w:t>
      </w:r>
      <w:r w:rsidRPr="0033671B">
        <w:rPr>
          <w:bCs/>
        </w:rPr>
        <w:t>ninguna tradición o creencia religiosa</w:t>
      </w:r>
      <w:r w:rsidRPr="0033671B">
        <w:t xml:space="preserve"> podía justificarla, el Parlamento Europeo instó a que los </w:t>
      </w:r>
      <w:r w:rsidRPr="0033671B">
        <w:rPr>
          <w:bCs/>
        </w:rPr>
        <w:t>Estados miembros tipificaran específicamente</w:t>
      </w:r>
      <w:r w:rsidRPr="0033671B">
        <w:t xml:space="preserve"> todas las formas de mutilación genital femenina; castigaran la </w:t>
      </w:r>
      <w:r w:rsidRPr="0033671B">
        <w:rPr>
          <w:bCs/>
        </w:rPr>
        <w:t>inducción, cooperación o facilitación</w:t>
      </w:r>
      <w:r w:rsidRPr="0033671B">
        <w:t xml:space="preserve"> de su práctica; garantizaran vías de </w:t>
      </w:r>
      <w:r w:rsidRPr="0033671B">
        <w:rPr>
          <w:bCs/>
        </w:rPr>
        <w:t>protección internacional</w:t>
      </w:r>
      <w:r w:rsidRPr="0033671B">
        <w:t xml:space="preserve"> para niñas y mujeres en riesgo en el ámbito del asilo; y situaran como objetivo su erradicación en las políticas públicas</w:t>
      </w:r>
      <w:r w:rsidRPr="0033671B">
        <w:rPr>
          <w:bCs/>
        </w:rPr>
        <w:t>.</w:t>
      </w:r>
      <w:r w:rsidRPr="0033671B">
        <w:t xml:space="preserve"> </w:t>
      </w:r>
    </w:p>
    <w:p w14:paraId="60F49642" w14:textId="77777777" w:rsidR="0033671B" w:rsidRPr="0033671B" w:rsidRDefault="0033671B" w:rsidP="0033671B">
      <w:pPr>
        <w:spacing w:line="360" w:lineRule="auto"/>
        <w:ind w:firstLine="709"/>
        <w:jc w:val="both"/>
      </w:pPr>
      <w:r w:rsidRPr="0033671B">
        <w:t xml:space="preserve">En el mismo año, si bien desde una perspectiva universal, la </w:t>
      </w:r>
      <w:r w:rsidRPr="0033671B">
        <w:rPr>
          <w:bCs/>
        </w:rPr>
        <w:t>Resolución 56/128 de la Asamblea General de Naciones Unidas,</w:t>
      </w:r>
      <w:r w:rsidRPr="0033671B">
        <w:rPr>
          <w:b/>
          <w:bCs/>
        </w:rPr>
        <w:t xml:space="preserve"> </w:t>
      </w:r>
      <w:r w:rsidRPr="0033671B">
        <w:rPr>
          <w:bCs/>
        </w:rPr>
        <w:t>de</w:t>
      </w:r>
      <w:r w:rsidRPr="0033671B">
        <w:rPr>
          <w:b/>
          <w:bCs/>
        </w:rPr>
        <w:t xml:space="preserve"> </w:t>
      </w:r>
      <w:r w:rsidRPr="0033671B">
        <w:rPr>
          <w:bCs/>
        </w:rPr>
        <w:t>19 de diciembre de 2001,</w:t>
      </w:r>
      <w:r w:rsidRPr="0033671B">
        <w:t xml:space="preserve"> sobre las </w:t>
      </w:r>
      <w:r w:rsidRPr="0033671B">
        <w:rPr>
          <w:iCs/>
        </w:rPr>
        <w:t>prácticas tradicionales o consuetudinarias que afectan a la salud de las mujeres y las niñas,</w:t>
      </w:r>
      <w:r w:rsidRPr="0033671B">
        <w:t xml:space="preserve"> identificó expresamente la </w:t>
      </w:r>
      <w:r w:rsidRPr="0033671B">
        <w:rPr>
          <w:bCs/>
        </w:rPr>
        <w:t>mutilación genital femenina</w:t>
      </w:r>
      <w:r w:rsidRPr="0033671B">
        <w:t xml:space="preserve"> como una práctica nociva y exigió a los Estados una respuesta </w:t>
      </w:r>
      <w:r w:rsidRPr="0033671B">
        <w:rPr>
          <w:bCs/>
        </w:rPr>
        <w:t>integral y coordinada</w:t>
      </w:r>
      <w:r w:rsidRPr="0033671B">
        <w:t xml:space="preserve">, como la adopción de medidas </w:t>
      </w:r>
      <w:r w:rsidRPr="0033671B">
        <w:lastRenderedPageBreak/>
        <w:t xml:space="preserve">legislativas y sancionadoras; la instauración de programas educativos y sanitarios; la formación de profesionales; y la adopción de acciones coordinadas que transformasen los patrones culturales que la sustentaban. Aunque en puridad se trata de un instrumento no vinculante, esta Resolución ha venido funcionando como un </w:t>
      </w:r>
      <w:r w:rsidRPr="0033671B">
        <w:rPr>
          <w:bCs/>
        </w:rPr>
        <w:t>parámetro interpretativo</w:t>
      </w:r>
      <w:r w:rsidRPr="0033671B">
        <w:t xml:space="preserve"> legitimador de la combinación de instrumentos punitivos y estrategias de salud pública.</w:t>
      </w:r>
    </w:p>
    <w:p w14:paraId="2235584A" w14:textId="77777777" w:rsidR="0033671B" w:rsidRPr="0033671B" w:rsidRDefault="0033671B" w:rsidP="0033671B">
      <w:pPr>
        <w:spacing w:line="360" w:lineRule="auto"/>
        <w:ind w:firstLine="709"/>
        <w:jc w:val="both"/>
      </w:pPr>
      <w:r w:rsidRPr="0033671B">
        <w:t xml:space="preserve">Jalón primordial de este </w:t>
      </w:r>
      <w:r w:rsidRPr="0033671B">
        <w:rPr>
          <w:i/>
        </w:rPr>
        <w:t>iter</w:t>
      </w:r>
      <w:r w:rsidRPr="0033671B">
        <w:t xml:space="preserve"> legislativo ha sido la </w:t>
      </w:r>
      <w:r w:rsidRPr="0033671B">
        <w:rPr>
          <w:bCs/>
        </w:rPr>
        <w:t>LO 11/2003, de 29 de septiembre</w:t>
      </w:r>
      <w:r w:rsidRPr="0033671B">
        <w:t xml:space="preserve">, la cual articuló una respuesta penal expresa frente a la mutilación genital femenina. Tras constatarse que no cabía desatender ciertas realidades introducidas por los procesos de </w:t>
      </w:r>
      <w:r w:rsidRPr="0033671B">
        <w:rPr>
          <w:bCs/>
        </w:rPr>
        <w:t>integración social de la población extranjera</w:t>
      </w:r>
      <w:r w:rsidRPr="0033671B">
        <w:t xml:space="preserve">, se justificó la medida en que prácticas como la ablación </w:t>
      </w:r>
      <w:r w:rsidRPr="0033671B">
        <w:rPr>
          <w:bCs/>
        </w:rPr>
        <w:t xml:space="preserve">debían ser combatidas específicamente </w:t>
      </w:r>
      <w:r w:rsidRPr="0033671B">
        <w:t xml:space="preserve">sin cobertura posible en razones pretendidamente religiosas o culturales. Desde esa premisa, el </w:t>
      </w:r>
      <w:r w:rsidRPr="0033671B">
        <w:rPr>
          <w:bCs/>
        </w:rPr>
        <w:t>art. 1.6</w:t>
      </w:r>
      <w:r w:rsidRPr="0033671B">
        <w:t xml:space="preserve"> de la Ley incorporó al </w:t>
      </w:r>
      <w:r w:rsidRPr="0033671B">
        <w:rPr>
          <w:bCs/>
        </w:rPr>
        <w:t>Código Penal</w:t>
      </w:r>
      <w:r w:rsidRPr="0033671B">
        <w:t xml:space="preserve"> el </w:t>
      </w:r>
      <w:r w:rsidRPr="0033671B">
        <w:rPr>
          <w:bCs/>
        </w:rPr>
        <w:t>art. 149.2</w:t>
      </w:r>
      <w:r w:rsidRPr="0033671B">
        <w:t xml:space="preserve">, que tipifica desde entonces la </w:t>
      </w:r>
      <w:r w:rsidRPr="0033671B">
        <w:rPr>
          <w:bCs/>
        </w:rPr>
        <w:t>mutilación genital en cualquiera de sus manifestaciones</w:t>
      </w:r>
      <w:r w:rsidRPr="0033671B">
        <w:t xml:space="preserve"> como delito de </w:t>
      </w:r>
      <w:r w:rsidRPr="0033671B">
        <w:rPr>
          <w:bCs/>
        </w:rPr>
        <w:t>lesiones graves</w:t>
      </w:r>
      <w:r w:rsidRPr="0033671B">
        <w:t xml:space="preserve">, sancionado con </w:t>
      </w:r>
      <w:r w:rsidRPr="0033671B">
        <w:rPr>
          <w:bCs/>
        </w:rPr>
        <w:t>prisión de seis a doce años</w:t>
      </w:r>
      <w:r w:rsidRPr="0033671B">
        <w:t xml:space="preserve">; y que prevé para determinados casos la </w:t>
      </w:r>
      <w:r w:rsidRPr="0033671B">
        <w:rPr>
          <w:bCs/>
        </w:rPr>
        <w:t>inhabilitación especial</w:t>
      </w:r>
      <w:r w:rsidRPr="0033671B">
        <w:t xml:space="preserve"> para el ejercicio de la patria potestad, tutela, curatela, guarda o acogimiento</w:t>
      </w:r>
      <w:r w:rsidRPr="0033671B">
        <w:rPr>
          <w:vertAlign w:val="superscript"/>
        </w:rPr>
        <w:footnoteReference w:id="10"/>
      </w:r>
      <w:r w:rsidRPr="0033671B">
        <w:t>.</w:t>
      </w:r>
    </w:p>
    <w:p w14:paraId="7388E173" w14:textId="77777777" w:rsidR="0033671B" w:rsidRPr="0033671B" w:rsidRDefault="0033671B" w:rsidP="0033671B">
      <w:pPr>
        <w:spacing w:line="360" w:lineRule="auto"/>
        <w:ind w:firstLine="709"/>
        <w:jc w:val="both"/>
      </w:pPr>
      <w:r w:rsidRPr="0033671B">
        <w:t>Apenas dos años más tarde, la LO 3/2005, de 8 de julio introdujo una breve pero decisiva reforma, mediante la incorporación a la LO del Poder Judicial de un nuevo art. 23.4 g), que atribuyó a los tribunales españoles competencia para perseguir la mutilación genital femenina cometida en el extranjero, siempre que los responsables se encontraran en España</w:t>
      </w:r>
      <w:r w:rsidRPr="0033671B">
        <w:rPr>
          <w:vertAlign w:val="superscript"/>
        </w:rPr>
        <w:footnoteReference w:id="11"/>
      </w:r>
      <w:r w:rsidRPr="0033671B">
        <w:t>. Partiendo de la premisa de que la lesión constituye un grave atentado contra los derechos humanos, así como una modalidad de trato inhumano prohibido por el art. 3 del Convenio Europeo de Derechos Humanos</w:t>
      </w:r>
      <w:r w:rsidRPr="0033671B">
        <w:rPr>
          <w:vertAlign w:val="superscript"/>
        </w:rPr>
        <w:footnoteReference w:id="12"/>
      </w:r>
      <w:r w:rsidRPr="0033671B">
        <w:t xml:space="preserve">, esta reforma legal vino a satisfacer los </w:t>
      </w:r>
      <w:r w:rsidRPr="0033671B">
        <w:lastRenderedPageBreak/>
        <w:t>compromisos de la CEDAW señalados más arriba</w:t>
      </w:r>
      <w:r w:rsidRPr="0033671B">
        <w:rPr>
          <w:vertAlign w:val="superscript"/>
        </w:rPr>
        <w:footnoteReference w:id="13"/>
      </w:r>
      <w:r w:rsidRPr="0033671B">
        <w:t xml:space="preserve">. Técnicamente, esta cláusula de jurisdicción universal quedó formulada sin exigir doble incriminación, pues bastaba que los hechos fueran susceptibles de tipificarse, según la ley penal española, y se condicionó la competencia a la presencia del autor en España. </w:t>
      </w:r>
    </w:p>
    <w:p w14:paraId="653DFF6C" w14:textId="77777777" w:rsidR="0033671B" w:rsidRPr="0033671B" w:rsidRDefault="0033671B" w:rsidP="0033671B">
      <w:pPr>
        <w:spacing w:line="360" w:lineRule="auto"/>
        <w:ind w:firstLine="709"/>
        <w:jc w:val="both"/>
      </w:pPr>
      <w:r w:rsidRPr="0033671B">
        <w:t xml:space="preserve">En el plano europeo, el </w:t>
      </w:r>
      <w:r w:rsidRPr="0033671B">
        <w:rPr>
          <w:bCs/>
        </w:rPr>
        <w:t>Convenio de Estambul del Consejo de Europa,</w:t>
      </w:r>
      <w:r w:rsidRPr="0033671B">
        <w:t xml:space="preserve"> sobre prevención y lucha contra la violencia contra las mujeres y la violencia doméstica de 11 de mayo de 2011, ratificado por España el 6 de junio de 2014, supuso un nuevo paso contra la mutilación genital. Tras delimitar su </w:t>
      </w:r>
      <w:r w:rsidRPr="0033671B">
        <w:rPr>
          <w:bCs/>
        </w:rPr>
        <w:t>ámbito de aplicación</w:t>
      </w:r>
      <w:r w:rsidRPr="0033671B">
        <w:t xml:space="preserve"> a </w:t>
      </w:r>
      <w:r w:rsidRPr="0033671B">
        <w:rPr>
          <w:bCs/>
        </w:rPr>
        <w:t>todas las formas de violencia contra las mujeres</w:t>
      </w:r>
      <w:r w:rsidRPr="0033671B">
        <w:t xml:space="preserve"> (art. </w:t>
      </w:r>
      <w:r w:rsidRPr="0033671B">
        <w:rPr>
          <w:bCs/>
        </w:rPr>
        <w:t>2</w:t>
      </w:r>
      <w:r w:rsidRPr="0033671B">
        <w:t>)</w:t>
      </w:r>
      <w:r w:rsidRPr="0033671B">
        <w:rPr>
          <w:vertAlign w:val="superscript"/>
        </w:rPr>
        <w:footnoteReference w:id="14"/>
      </w:r>
      <w:r w:rsidRPr="0033671B">
        <w:t xml:space="preserve">; y definir la </w:t>
      </w:r>
      <w:r w:rsidRPr="0033671B">
        <w:rPr>
          <w:bCs/>
        </w:rPr>
        <w:t>violencia contra la mujer</w:t>
      </w:r>
      <w:r w:rsidRPr="0033671B">
        <w:t xml:space="preserve"> como todo acto de violencia </w:t>
      </w:r>
      <w:r w:rsidRPr="0033671B">
        <w:rPr>
          <w:bCs/>
        </w:rPr>
        <w:t>basado en el género</w:t>
      </w:r>
      <w:r w:rsidRPr="0033671B">
        <w:t xml:space="preserve"> que cause o pueda causar daños </w:t>
      </w:r>
      <w:r w:rsidRPr="0033671B">
        <w:rPr>
          <w:bCs/>
        </w:rPr>
        <w:t>físicos, sexuales, psicológicos o económicos</w:t>
      </w:r>
      <w:r w:rsidRPr="0033671B">
        <w:t xml:space="preserve"> (art. </w:t>
      </w:r>
      <w:r w:rsidRPr="0033671B">
        <w:rPr>
          <w:bCs/>
        </w:rPr>
        <w:t>3</w:t>
      </w:r>
      <w:r w:rsidRPr="0033671B">
        <w:t>)</w:t>
      </w:r>
      <w:r w:rsidRPr="0033671B">
        <w:rPr>
          <w:vertAlign w:val="superscript"/>
        </w:rPr>
        <w:footnoteReference w:id="15"/>
      </w:r>
      <w:r w:rsidRPr="0033671B">
        <w:t xml:space="preserve">; su </w:t>
      </w:r>
      <w:r w:rsidRPr="0033671B">
        <w:rPr>
          <w:bCs/>
        </w:rPr>
        <w:t>art. 38</w:t>
      </w:r>
      <w:r w:rsidRPr="0033671B">
        <w:t xml:space="preserve"> ha obligado a los Estados parte a </w:t>
      </w:r>
      <w:r w:rsidRPr="0033671B">
        <w:rPr>
          <w:bCs/>
        </w:rPr>
        <w:t>criminalizar</w:t>
      </w:r>
      <w:r w:rsidRPr="0033671B">
        <w:t xml:space="preserve"> no sólo la práctica de la ablación, sino también su </w:t>
      </w:r>
      <w:r w:rsidRPr="0033671B">
        <w:rPr>
          <w:bCs/>
        </w:rPr>
        <w:t>inducción o la coacción al respecto</w:t>
      </w:r>
      <w:r w:rsidRPr="0033671B">
        <w:t>, como parte de una arquitectura de prevención, protección y políticas públicas</w:t>
      </w:r>
      <w:r w:rsidRPr="0033671B">
        <w:rPr>
          <w:vertAlign w:val="superscript"/>
        </w:rPr>
        <w:footnoteReference w:id="16"/>
      </w:r>
      <w:r w:rsidRPr="0033671B">
        <w:t>. Además, su art. 44 ha impuesto determinadas reglas de competencia, incluida la posibilidad de perseguir hechos cometidos en el extranjero por nacionales o residentes; reglas que para los delitos de los artículos 36–39 —entre ellos, la MGF—, no exigen la doble incriminación.</w:t>
      </w:r>
    </w:p>
    <w:p w14:paraId="167CBBD0" w14:textId="77777777" w:rsidR="0033671B" w:rsidRPr="0033671B" w:rsidRDefault="0033671B" w:rsidP="0033671B">
      <w:pPr>
        <w:spacing w:line="360" w:lineRule="auto"/>
        <w:ind w:firstLine="709"/>
        <w:jc w:val="both"/>
      </w:pPr>
      <w:r w:rsidRPr="0033671B">
        <w:lastRenderedPageBreak/>
        <w:t xml:space="preserve">En estrecha relación con la ratificación por parte de España del Convenio de Estambul, la LO 1/2014 ha supuesto un significativo cambio en el plano competencial. En efecto, esta norma ha restringido la antigua cláusula de jurisdicción universal del art. 23 LOPJ, vigente desde 2005, pero al mismo tiempo ha vinculado la competencia extraterritorial española al Convenio de Estambul. En concreto, el </w:t>
      </w:r>
      <w:r w:rsidRPr="0033671B">
        <w:rPr>
          <w:bCs/>
        </w:rPr>
        <w:t>art. 23.4.l)</w:t>
      </w:r>
      <w:r w:rsidRPr="0033671B">
        <w:rPr>
          <w:bCs/>
          <w:vertAlign w:val="superscript"/>
        </w:rPr>
        <w:footnoteReference w:id="17"/>
      </w:r>
      <w:r w:rsidRPr="0033671B">
        <w:t xml:space="preserve"> atribuye jurisdicción penal española respecto de los </w:t>
      </w:r>
      <w:r w:rsidRPr="0033671B">
        <w:rPr>
          <w:bCs/>
        </w:rPr>
        <w:t xml:space="preserve">delitos regulados en el Convenio </w:t>
      </w:r>
      <w:r w:rsidRPr="0033671B">
        <w:t xml:space="preserve">de Estambul cuando concurra alguno de estos conectores: </w:t>
      </w:r>
      <w:r w:rsidRPr="0033671B">
        <w:rPr>
          <w:bCs/>
        </w:rPr>
        <w:t xml:space="preserve">o bien </w:t>
      </w:r>
      <w:r w:rsidRPr="0033671B">
        <w:t xml:space="preserve">que el procedimiento se dirija </w:t>
      </w:r>
      <w:r w:rsidRPr="0033671B">
        <w:rPr>
          <w:bCs/>
        </w:rPr>
        <w:t>contra un español</w:t>
      </w:r>
      <w:r w:rsidRPr="0033671B">
        <w:t xml:space="preserve">; o bien que se dirija </w:t>
      </w:r>
      <w:r w:rsidRPr="0033671B">
        <w:rPr>
          <w:bCs/>
        </w:rPr>
        <w:t>contra un extranjero con residencia habitual en España</w:t>
      </w:r>
      <w:r w:rsidRPr="0033671B">
        <w:t xml:space="preserve">; y, por último, que el delito se haya cometido </w:t>
      </w:r>
      <w:r w:rsidRPr="0033671B">
        <w:rPr>
          <w:bCs/>
        </w:rPr>
        <w:t>contra víctima española o con residencia habitual en España</w:t>
      </w:r>
      <w:r w:rsidRPr="0033671B">
        <w:t xml:space="preserve">, </w:t>
      </w:r>
      <w:r w:rsidRPr="0033671B">
        <w:rPr>
          <w:bCs/>
        </w:rPr>
        <w:t>siempre que el presunto autor se encuentre en España</w:t>
      </w:r>
      <w:r w:rsidRPr="0033671B">
        <w:t xml:space="preserve">. </w:t>
      </w:r>
    </w:p>
    <w:p w14:paraId="4A3DCB6A" w14:textId="77777777" w:rsidR="0033671B" w:rsidRPr="0033671B" w:rsidRDefault="0033671B" w:rsidP="0033671B">
      <w:pPr>
        <w:spacing w:line="360" w:lineRule="auto"/>
        <w:ind w:firstLine="709"/>
        <w:jc w:val="both"/>
      </w:pPr>
      <w:r w:rsidRPr="0033671B">
        <w:t>De ahí que pocos meses después de entrar la LO 1/2014 en vigor, y tomando precisamente como fundamento la conexión a través del Convenio de Estambul, el Pleno de la Sala de lo Penal de la Audiencia Nacional, de 3 de octubre de 2014 acordara por unanimidad declarar la competencia de la jurisdicción española para perseguir la mutilación genital femenina cometida fuera de España cuando las víctimas y sus progenitores residieran habitualmente en España</w:t>
      </w:r>
      <w:r w:rsidRPr="0033671B">
        <w:rPr>
          <w:vertAlign w:val="superscript"/>
        </w:rPr>
        <w:footnoteReference w:id="18"/>
      </w:r>
      <w:r w:rsidRPr="0033671B">
        <w:t xml:space="preserve">. </w:t>
      </w:r>
    </w:p>
    <w:p w14:paraId="3FB18BD5" w14:textId="77777777" w:rsidR="0033671B" w:rsidRPr="0033671B" w:rsidRDefault="0033671B" w:rsidP="0033671B">
      <w:pPr>
        <w:spacing w:line="360" w:lineRule="auto"/>
        <w:ind w:firstLine="709"/>
        <w:jc w:val="both"/>
      </w:pPr>
      <w:r w:rsidRPr="0033671B">
        <w:t xml:space="preserve">Dentro del ámbito de protección de las víctimas, y más específicamente en lo relativo a aquellas menores de edad, ha de hacerse también referencia a la </w:t>
      </w:r>
      <w:r w:rsidRPr="0033671B">
        <w:rPr>
          <w:bCs/>
        </w:rPr>
        <w:t>disposición final 1.14 de la</w:t>
      </w:r>
      <w:r w:rsidRPr="0033671B">
        <w:rPr>
          <w:b/>
          <w:bCs/>
        </w:rPr>
        <w:t xml:space="preserve"> </w:t>
      </w:r>
      <w:r w:rsidRPr="0033671B">
        <w:rPr>
          <w:bCs/>
        </w:rPr>
        <w:t>Ley 4/2015, de 27 de abril,</w:t>
      </w:r>
      <w:r w:rsidRPr="0033671B">
        <w:rPr>
          <w:b/>
          <w:bCs/>
        </w:rPr>
        <w:t xml:space="preserve"> </w:t>
      </w:r>
      <w:r w:rsidRPr="0033671B">
        <w:t xml:space="preserve">la cual ha incorporado a la Ley de Enjuiciamiento Criminal el </w:t>
      </w:r>
      <w:r w:rsidRPr="0033671B">
        <w:rPr>
          <w:bCs/>
        </w:rPr>
        <w:t>art.544 quinquies</w:t>
      </w:r>
      <w:r w:rsidRPr="0033671B">
        <w:rPr>
          <w:bCs/>
          <w:vertAlign w:val="superscript"/>
        </w:rPr>
        <w:footnoteReference w:id="19"/>
      </w:r>
      <w:r w:rsidRPr="0033671B">
        <w:t xml:space="preserve"> para habilitar, en el seno del proceso penal </w:t>
      </w:r>
      <w:r w:rsidRPr="0033671B">
        <w:lastRenderedPageBreak/>
        <w:t xml:space="preserve">y con la finalidad de </w:t>
      </w:r>
      <w:r w:rsidRPr="0033671B">
        <w:rPr>
          <w:bCs/>
        </w:rPr>
        <w:t>proteger a menores o personas con la capacidad modificada</w:t>
      </w:r>
      <w:r w:rsidRPr="0033671B">
        <w:t xml:space="preserve">, medidas de proyección civil allí donde se investiguen delitos de los </w:t>
      </w:r>
      <w:r w:rsidRPr="0033671B">
        <w:rPr>
          <w:bCs/>
        </w:rPr>
        <w:t>mencionados en el art.57 CP</w:t>
      </w:r>
      <w:r w:rsidRPr="0033671B">
        <w:t xml:space="preserve">, entre los cuales, y a los efectos que aquí nos conciernen, se hallan las </w:t>
      </w:r>
      <w:r w:rsidRPr="0033671B">
        <w:rPr>
          <w:bCs/>
        </w:rPr>
        <w:t>lesiones del art. 149.2 CP</w:t>
      </w:r>
      <w:r w:rsidRPr="0033671B">
        <w:t xml:space="preserve">. El precepto faculta al juez para que adopte unas medidas de urgencia, que inciden en las relaciones familiares cuando está comprometida la integridad del menor: </w:t>
      </w:r>
      <w:r w:rsidRPr="0033671B">
        <w:rPr>
          <w:bCs/>
        </w:rPr>
        <w:t>suspensión de la patria potestad</w:t>
      </w:r>
      <w:r w:rsidRPr="0033671B">
        <w:t>, la</w:t>
      </w:r>
      <w:r w:rsidRPr="0033671B">
        <w:rPr>
          <w:bCs/>
        </w:rPr>
        <w:t xml:space="preserve"> tutela, la curatela, la guarda o el acogimiento</w:t>
      </w:r>
      <w:r w:rsidRPr="0033671B">
        <w:t xml:space="preserve">; </w:t>
      </w:r>
      <w:r w:rsidRPr="0033671B">
        <w:rPr>
          <w:bCs/>
        </w:rPr>
        <w:t>sometimiento a supervisión</w:t>
      </w:r>
      <w:r w:rsidRPr="0033671B">
        <w:t xml:space="preserve"> del ejercicio de funciones parentales; y, en su caso, </w:t>
      </w:r>
      <w:r w:rsidRPr="0033671B">
        <w:rPr>
          <w:bCs/>
        </w:rPr>
        <w:t>modificación del régimen de visitas o comunicación</w:t>
      </w:r>
      <w:r w:rsidRPr="0033671B">
        <w:t xml:space="preserve"> vigente. Así, ante un posible caso de mutilación genital, cabe declarar, con carácter cautelar, el desamparo de la menor y encomendar de inmediato a la entidad pública la asunción de las funciones tutelares. Esta declaración —que lleva aparejada la suspensión del ejercicio de la potestad y de los derechos inherentes de los padres— asegura una protección integral y neutraliza, de manera efectiva, la capacidad de decisión de quienes han puesto en peligro a la niña. Evidentemente, por su vocación estrictamente tuitiva, estas medidas no anticipan el fallo penal, pero sí aseguran que, mientras se dilucida la responsabilidad, la menor permanezca a salvo de presiones o decisiones parentales contrarias a su interés superior.</w:t>
      </w:r>
    </w:p>
    <w:p w14:paraId="194E3A8E" w14:textId="77777777" w:rsidR="0033671B" w:rsidRPr="0033671B" w:rsidRDefault="0033671B" w:rsidP="0033671B">
      <w:pPr>
        <w:spacing w:line="360" w:lineRule="auto"/>
        <w:ind w:firstLine="709"/>
        <w:jc w:val="both"/>
      </w:pPr>
      <w:r w:rsidRPr="0033671B">
        <w:t>En este ámbito, la prevención de desplazamientos constituye un factor a menudo decisivo. Cuando existen indicios fundados de que un viaje al país de origen puede instrumentalizarse para practicar la ablación, procede acordar la prohibición de salida del territorio, la retirada o retención de pasaporte y la imposición de un deber de comunicación previa y autorización judicial para cualquier desplazamiento. Se trata de medidas típicas en escenarios de riesgo transfronterizo en evitación de la frustración de la tutela judicial por la vía del hecho consumado</w:t>
      </w:r>
      <w:r w:rsidRPr="0033671B">
        <w:rPr>
          <w:vertAlign w:val="superscript"/>
        </w:rPr>
        <w:footnoteReference w:id="20"/>
      </w:r>
      <w:r w:rsidRPr="0033671B">
        <w:t>.</w:t>
      </w:r>
    </w:p>
    <w:p w14:paraId="472CB084" w14:textId="4D58285F" w:rsidR="0053247B" w:rsidRPr="0053247B" w:rsidRDefault="0033671B" w:rsidP="0033671B">
      <w:pPr>
        <w:spacing w:line="360" w:lineRule="auto"/>
        <w:ind w:firstLine="709"/>
        <w:jc w:val="both"/>
      </w:pPr>
      <w:r w:rsidRPr="0033671B">
        <w:lastRenderedPageBreak/>
        <w:t xml:space="preserve">Por último, y para acabar este sucinto repaso sobre la producción normativa española, citaremos el </w:t>
      </w:r>
      <w:r w:rsidRPr="0033671B">
        <w:rPr>
          <w:bCs/>
        </w:rPr>
        <w:t>art.22 de la</w:t>
      </w:r>
      <w:r w:rsidRPr="0033671B">
        <w:rPr>
          <w:b/>
          <w:bCs/>
        </w:rPr>
        <w:t xml:space="preserve"> </w:t>
      </w:r>
      <w:r w:rsidRPr="0033671B">
        <w:rPr>
          <w:bCs/>
        </w:rPr>
        <w:t>LO 10/2022</w:t>
      </w:r>
      <w:r w:rsidRPr="0033671B">
        <w:rPr>
          <w:bCs/>
          <w:vertAlign w:val="superscript"/>
        </w:rPr>
        <w:footnoteReference w:id="21"/>
      </w:r>
      <w:r w:rsidRPr="0033671B">
        <w:rPr>
          <w:bCs/>
        </w:rPr>
        <w:t>, el cual,</w:t>
      </w:r>
      <w:r w:rsidRPr="0033671B">
        <w:t xml:space="preserve"> situando la ablación en el perímetro de las violencias sexuales, señala la detección como clave de bóveda de una respuesta institucional eficaz de protección integral de la víctima. El precepto </w:t>
      </w:r>
      <w:r w:rsidRPr="0033671B">
        <w:rPr>
          <w:bCs/>
        </w:rPr>
        <w:t>impone a los poderes públicos la obligación de establecer protocolos de actuación</w:t>
      </w:r>
      <w:r w:rsidRPr="0033671B">
        <w:t xml:space="preserve"> específicos para la </w:t>
      </w:r>
      <w:r w:rsidRPr="0033671B">
        <w:rPr>
          <w:bCs/>
        </w:rPr>
        <w:t>detección y atención</w:t>
      </w:r>
      <w:r w:rsidRPr="0033671B">
        <w:t xml:space="preserve"> de casos de </w:t>
      </w:r>
      <w:r w:rsidRPr="0033671B">
        <w:rPr>
          <w:bCs/>
        </w:rPr>
        <w:t>mutilación</w:t>
      </w:r>
      <w:r w:rsidRPr="0033671B">
        <w:t xml:space="preserve">. Se </w:t>
      </w:r>
      <w:r w:rsidRPr="0033671B">
        <w:rPr>
          <w:bCs/>
        </w:rPr>
        <w:t>prevé, además, en aras de su adecuada capacitación, la formación especializada</w:t>
      </w:r>
      <w:r w:rsidRPr="0033671B">
        <w:t xml:space="preserve"> de los profesionales implicados, y ello con la posibilidad adicional de </w:t>
      </w:r>
      <w:r w:rsidRPr="0033671B">
        <w:rPr>
          <w:bCs/>
        </w:rPr>
        <w:t>operar en el marco de la cooperación internacional al desarrollo</w:t>
      </w:r>
      <w:r>
        <w:rPr>
          <w:bCs/>
        </w:rPr>
        <w:t>.</w:t>
      </w:r>
    </w:p>
    <w:p w14:paraId="43B3E85B" w14:textId="77777777" w:rsidR="00247CF4" w:rsidRPr="00D21949" w:rsidRDefault="00247CF4" w:rsidP="00247CF4">
      <w:pPr>
        <w:spacing w:line="360" w:lineRule="auto"/>
        <w:ind w:firstLine="709"/>
        <w:jc w:val="both"/>
        <w:rPr>
          <w:rFonts w:eastAsia="Times New Roman"/>
          <w:kern w:val="0"/>
          <w:szCs w:val="22"/>
          <w:lang w:eastAsia="es-ES"/>
          <w14:ligatures w14:val="none"/>
        </w:rPr>
      </w:pPr>
    </w:p>
    <w:p w14:paraId="67E5D276" w14:textId="77777777" w:rsidR="00247CF4" w:rsidRPr="00D21949" w:rsidRDefault="00247CF4" w:rsidP="00247CF4">
      <w:pPr>
        <w:spacing w:line="360" w:lineRule="auto"/>
        <w:ind w:firstLine="709"/>
        <w:jc w:val="both"/>
        <w:rPr>
          <w:rFonts w:eastAsia="Times New Roman"/>
          <w:kern w:val="0"/>
          <w:szCs w:val="22"/>
          <w:lang w:eastAsia="es-ES"/>
          <w14:ligatures w14:val="none"/>
        </w:rPr>
      </w:pPr>
    </w:p>
    <w:p w14:paraId="53C7C015" w14:textId="38F2BB14" w:rsidR="00247CF4" w:rsidRPr="00D21949" w:rsidRDefault="00247CF4" w:rsidP="00247CF4">
      <w:pPr>
        <w:spacing w:line="360" w:lineRule="auto"/>
        <w:jc w:val="both"/>
        <w:rPr>
          <w:rFonts w:eastAsia="Times New Roman"/>
          <w:smallCaps/>
          <w:kern w:val="0"/>
          <w:szCs w:val="22"/>
          <w:lang w:eastAsia="es-ES"/>
          <w14:ligatures w14:val="none"/>
        </w:rPr>
      </w:pPr>
      <w:r w:rsidRPr="00D21949">
        <w:t xml:space="preserve">            </w:t>
      </w:r>
      <w:r w:rsidRPr="00D21949">
        <w:rPr>
          <w:smallCaps/>
        </w:rPr>
        <w:t xml:space="preserve">3. </w:t>
      </w:r>
      <w:r w:rsidR="0033671B" w:rsidRPr="0033671B">
        <w:rPr>
          <w:rFonts w:eastAsia="Calibri"/>
          <w:smallCaps/>
          <w:kern w:val="0"/>
          <w14:ligatures w14:val="none"/>
        </w:rPr>
        <w:t>Argumentación jurisprudencial</w:t>
      </w:r>
    </w:p>
    <w:p w14:paraId="1190E397" w14:textId="77777777" w:rsidR="0033671B" w:rsidRPr="0033671B" w:rsidRDefault="0033671B" w:rsidP="0033671B">
      <w:pPr>
        <w:spacing w:before="120" w:line="360" w:lineRule="auto"/>
        <w:ind w:firstLine="709"/>
        <w:jc w:val="both"/>
      </w:pPr>
      <w:r w:rsidRPr="0033671B">
        <w:t xml:space="preserve">Sentadas las anteriores premisas normativas, pasamos seguidamente a analizar las resoluciones judiciales dictadas en España en lo atinente al delito de lesiones en su modalidad de mutilación genital femenina. La muestra jurisprudencial analizada se centra, en el período que se extiende desde 2010 hasta la actualidad. Conviene advertir, sin embargo, que el </w:t>
      </w:r>
      <w:r w:rsidRPr="0033671B">
        <w:rPr>
          <w:i/>
        </w:rPr>
        <w:t>factum</w:t>
      </w:r>
      <w:r w:rsidRPr="0033671B">
        <w:t xml:space="preserve"> enjuiciado puede retrotraerse varios años, pues, a menudo, pese a haberse consumado la lesión en la primera infancia de las víctimas, aflora cuando, ya en España, se practican las exploraciones médicas que la ponen de manifiesto. Como veremos, esta distancia temporal entre el momento de la comisión y el descubrimiento probatorio condicionará tanto la investigación como la valoración de la prueba, y explica en parte la relevancia que adquieren los dictámenes periciales y la documentación clínica en la formación de la convicción judicial.</w:t>
      </w:r>
    </w:p>
    <w:p w14:paraId="7E77D8AA" w14:textId="77777777" w:rsidR="0033671B" w:rsidRPr="0033671B" w:rsidRDefault="0033671B" w:rsidP="00A06429">
      <w:pPr>
        <w:spacing w:line="360" w:lineRule="auto"/>
        <w:ind w:firstLine="709"/>
        <w:jc w:val="both"/>
      </w:pPr>
      <w:r w:rsidRPr="0033671B">
        <w:t xml:space="preserve">Por lo demás, no es infrecuente que un mismo caso genere una secuencia de resoluciones —a veces dispares— a lo largo de sus distintas fases y sedes jurisdiccionales (primera instancia, audiencia provincial, Tribunal Supremo o, en su caso, Audiencia </w:t>
      </w:r>
      <w:r w:rsidRPr="0033671B">
        <w:lastRenderedPageBreak/>
        <w:t>Nacional). Este itinerario permite seguir la evolución del debate jurídico: desde la fijación de los hechos y su subsunción inicial, hasta la revisión de la tipicidad, la autoría o la concurrencia de eventuales atenuantes o eximentes, con los matices que aportan los órganos de apelación y casación.</w:t>
      </w:r>
    </w:p>
    <w:p w14:paraId="56BFF688" w14:textId="77777777" w:rsidR="0033671B" w:rsidRPr="0033671B" w:rsidRDefault="0033671B" w:rsidP="00A06429">
      <w:pPr>
        <w:spacing w:line="360" w:lineRule="auto"/>
        <w:ind w:firstLine="709"/>
        <w:jc w:val="both"/>
      </w:pPr>
      <w:r w:rsidRPr="0033671B">
        <w:t>En cuanto a las circunstancias personales de los casos enjuiciados en España, se constata que la víctima ha sido una recién nacida o una lactante de pocos meses, si bien a veces también cuenta con algunos años de edad. En ocasiones, además, la práctica de la ablación se extiende a varias hermanas dentro de una misma unidad familiar. El origen geográfico de los asuntos se sitúa de forma recurrente en una franja concreta del África occidental: Gambia aparece con notable frecuencia, si bien también se registran supuestos vinculados a Senegal, Mauritania o Malí. Como hemos apuntado, la mutilación se ejecuta a menudo en el país de origen durante estancias temporales —viajes familiares o vacaciones— y es detectada con posterioridad en España; si bien también, como comprobaremos, se han enjuiciado hechos acaecidos en territorio nacional, con el consiguiente reforzamiento del vínculo jurisdiccional y probatorio.</w:t>
      </w:r>
    </w:p>
    <w:p w14:paraId="1D619427" w14:textId="77777777" w:rsidR="0033671B" w:rsidRPr="0033671B" w:rsidRDefault="0033671B" w:rsidP="00A06429">
      <w:pPr>
        <w:spacing w:line="360" w:lineRule="auto"/>
        <w:ind w:firstLine="709"/>
        <w:jc w:val="both"/>
      </w:pPr>
      <w:r w:rsidRPr="0033671B">
        <w:t>El afloramiento del delito se produce casi siempre en el ámbito sanitario: en controles pediátricos ordinarios de atención primaria que incluyen un examen de los genitales externos o en el marco de programas protocolizados de prevención del riesgo dirigidos a población infantil perteneciente a determinados grupos de especial vulnerabilidad. La prueba documental y la pericial médico-forense —muy en particular la ginecológica y pediátrica— resultan, por ello, decisivas para describir el tipo de lesión, su antigüedad estimada y las secuelas funcionales y psicoemocionales asociadas. Sobre tal basamento se articula, con carácter predominante, la declaración de hechos probados y la atribución de responsabilidad penal.</w:t>
      </w:r>
    </w:p>
    <w:p w14:paraId="437D605A" w14:textId="77777777" w:rsidR="0033671B" w:rsidRPr="0033671B" w:rsidRDefault="0033671B" w:rsidP="00A06429">
      <w:pPr>
        <w:spacing w:line="360" w:lineRule="auto"/>
        <w:ind w:firstLine="709"/>
        <w:jc w:val="both"/>
      </w:pPr>
      <w:r w:rsidRPr="0033671B">
        <w:t xml:space="preserve">En la delimitación subjetiva de la autoría, los acusados suelen ser los progenitores de las menores. La imputación abarca tanto la autoría directa —cuando se acredita su participación activa— como la mediata o por cooperación necesaria, en supuestos en los que la intervención material recae en terceros, pero concurre conocimiento y consentimiento tácito de los padres, cuando no su expresa concertación. </w:t>
      </w:r>
    </w:p>
    <w:p w14:paraId="3BE641C6" w14:textId="77777777" w:rsidR="0033671B" w:rsidRPr="0033671B" w:rsidRDefault="0033671B" w:rsidP="00A06429">
      <w:pPr>
        <w:spacing w:line="360" w:lineRule="auto"/>
        <w:ind w:firstLine="709"/>
        <w:jc w:val="both"/>
      </w:pPr>
      <w:r w:rsidRPr="0033671B">
        <w:t xml:space="preserve">En suma, el cuerpo jurisprudencial examinado muestra un patrón relativamente estable: hechos cometidos en la primera infancia y detectados clínicamente tiempo </w:t>
      </w:r>
      <w:r w:rsidRPr="0033671B">
        <w:lastRenderedPageBreak/>
        <w:t>después; itinerarios procesales que, en ocasiones, generan decisiones divergentes hasta su unificación por los órganos superiores; centralidad de la prueba pericial sanitaria en la acreditación de la lesión y su cronología; y un criterio sostenido de imputación que sitúa a los progenitores en el núcleo de responsabilidad, sea por acción, sea por omisión cualificada, dada la intervención de terceros con su anuencia. Todo ello se integra en una lectura conjunta del art.149.2 CP con el art.38 del Convenio del Consejo de Europa, los cuales guían la interpretación judicial hacia la protección efectiva de las menores frente a prácticas de mutilación genital.</w:t>
      </w:r>
    </w:p>
    <w:p w14:paraId="45B58A56" w14:textId="6088F196" w:rsidR="0033671B" w:rsidRDefault="0033671B" w:rsidP="00A06429">
      <w:pPr>
        <w:spacing w:line="360" w:lineRule="auto"/>
        <w:ind w:firstLine="709"/>
        <w:jc w:val="both"/>
      </w:pPr>
      <w:r w:rsidRPr="0033671B">
        <w:t>Examinaremos seguidamente las resoluciones judiciales más relevantes. Dividiremos para ello su estudio en distintos apartados de acuerdo con los argumentos dirimidos en ellas, bien por haber sido alegados por las defensas de los acusados, bien por haber resultado determinantes para su condena</w:t>
      </w:r>
      <w:r>
        <w:t>.</w:t>
      </w:r>
    </w:p>
    <w:p w14:paraId="45051847" w14:textId="5823DF59" w:rsidR="00774EEA" w:rsidRDefault="0033671B" w:rsidP="0033671B">
      <w:pPr>
        <w:spacing w:before="120" w:line="360" w:lineRule="auto"/>
        <w:ind w:left="709"/>
        <w:jc w:val="both"/>
        <w:rPr>
          <w:rFonts w:eastAsia="Times New Roman"/>
          <w:bCs/>
          <w:i/>
          <w:iCs/>
          <w:kern w:val="0"/>
          <w:szCs w:val="22"/>
          <w:lang w:eastAsia="es-ES"/>
          <w14:ligatures w14:val="none"/>
        </w:rPr>
      </w:pPr>
      <w:r>
        <w:rPr>
          <w:rFonts w:eastAsia="Times New Roman"/>
          <w:bCs/>
          <w:i/>
          <w:iCs/>
          <w:kern w:val="0"/>
          <w:szCs w:val="22"/>
          <w:lang w:eastAsia="es-ES"/>
          <w14:ligatures w14:val="none"/>
        </w:rPr>
        <w:t>3</w:t>
      </w:r>
      <w:r w:rsidR="00774EEA" w:rsidRPr="00A22CDF">
        <w:rPr>
          <w:rFonts w:eastAsia="Times New Roman"/>
          <w:bCs/>
          <w:i/>
          <w:iCs/>
          <w:kern w:val="0"/>
          <w:szCs w:val="22"/>
          <w:lang w:eastAsia="es-ES"/>
          <w14:ligatures w14:val="none"/>
        </w:rPr>
        <w:t xml:space="preserve">.1. </w:t>
      </w:r>
      <w:r w:rsidRPr="0033671B">
        <w:rPr>
          <w:rFonts w:eastAsia="Times New Roman"/>
          <w:bCs/>
          <w:i/>
          <w:iCs/>
          <w:kern w:val="0"/>
          <w:szCs w:val="22"/>
          <w:lang w:eastAsia="es-ES"/>
          <w14:ligatures w14:val="none"/>
        </w:rPr>
        <w:t>La presunción de inocencia y el principio de in dubio pro reo</w:t>
      </w:r>
    </w:p>
    <w:p w14:paraId="085030AD" w14:textId="77777777" w:rsidR="0033671B" w:rsidRPr="0033671B" w:rsidRDefault="0033671B" w:rsidP="0033671B">
      <w:pPr>
        <w:spacing w:before="120" w:line="360" w:lineRule="auto"/>
        <w:ind w:firstLine="709"/>
        <w:jc w:val="both"/>
      </w:pPr>
      <w:r w:rsidRPr="0033671B">
        <w:t xml:space="preserve">Una de las estrategias defensivas más utilizada por los progenitores acusados ha sido la falta de prueba suficiente para desvirtuar la presunción de inocencia. Ejemplo elocuente de esta estrategia defensiva fue la de unos padres radicados en Alcañiz, los cuales recurrieron en casación una sentencia condenatoria de la Audiencia Provincial de Teruel y cuya motivación fue, amén de una presunta vulneración del derecho a la presunción de inocencia, la violación del principio </w:t>
      </w:r>
      <w:r w:rsidRPr="0033671B">
        <w:rPr>
          <w:i/>
        </w:rPr>
        <w:t>in dubio pro reo</w:t>
      </w:r>
      <w:r w:rsidRPr="0033671B">
        <w:rPr>
          <w:vertAlign w:val="superscript"/>
        </w:rPr>
        <w:footnoteReference w:id="22"/>
      </w:r>
      <w:r w:rsidRPr="0033671B">
        <w:t xml:space="preserve">. En realidad se trata de dos cuestiones relacionadas entre sí, pero cuyo significado conviene deslindar siquiera </w:t>
      </w:r>
      <w:r w:rsidRPr="0033671B">
        <w:rPr>
          <w:i/>
        </w:rPr>
        <w:t>grosso modo</w:t>
      </w:r>
      <w:r w:rsidRPr="0033671B">
        <w:t xml:space="preserve"> para comprender la argumentación que posteriormente ofrecería al respecto el Tribunal Supremo</w:t>
      </w:r>
      <w:r w:rsidRPr="0033671B">
        <w:rPr>
          <w:vertAlign w:val="superscript"/>
        </w:rPr>
        <w:footnoteReference w:id="23"/>
      </w:r>
      <w:r w:rsidRPr="0033671B">
        <w:t xml:space="preserve">. En efecto, la </w:t>
      </w:r>
      <w:r w:rsidRPr="0033671B">
        <w:rPr>
          <w:bCs/>
        </w:rPr>
        <w:t>presunción de inocencia</w:t>
      </w:r>
      <w:r w:rsidRPr="0033671B">
        <w:t xml:space="preserve"> constituye un derecho fundamental reconocido en el art. 24.2 CE</w:t>
      </w:r>
      <w:r w:rsidRPr="0033671B">
        <w:rPr>
          <w:vertAlign w:val="superscript"/>
        </w:rPr>
        <w:footnoteReference w:id="24"/>
      </w:r>
      <w:r w:rsidRPr="0033671B">
        <w:t xml:space="preserve">, el cual impide considerar culpable a una persona en tanto no exista una condena fundada en pruebas de cargo válidas y obtenidas con todas las garantías. El </w:t>
      </w:r>
      <w:r w:rsidRPr="0033671B">
        <w:rPr>
          <w:bCs/>
        </w:rPr>
        <w:t xml:space="preserve">principio </w:t>
      </w:r>
      <w:r w:rsidRPr="0033671B">
        <w:rPr>
          <w:bCs/>
          <w:i/>
        </w:rPr>
        <w:t>in dubio pro reo</w:t>
      </w:r>
      <w:r w:rsidRPr="0033671B">
        <w:rPr>
          <w:bCs/>
        </w:rPr>
        <w:t>, en cambio, opera</w:t>
      </w:r>
      <w:r w:rsidRPr="0033671B">
        <w:t xml:space="preserve"> en el momento de la valoración probatoria: de modo que si, tras el juicio, persiste una duda racional sobre la autoría o los hechos, debe resolverse a favor del acusado. La diferencia esencial es que </w:t>
      </w:r>
      <w:r w:rsidRPr="0033671B">
        <w:lastRenderedPageBreak/>
        <w:t xml:space="preserve">la presunción de inocencia actúa como regla de tratamiento procesal hasta la sentencia, mientras que la regla de </w:t>
      </w:r>
      <w:r w:rsidRPr="0033671B">
        <w:rPr>
          <w:i/>
        </w:rPr>
        <w:t>in dubio pro reo</w:t>
      </w:r>
      <w:r w:rsidRPr="0033671B">
        <w:t xml:space="preserve"> se refiere a la decisión en caso de incertidumbre probatoria. </w:t>
      </w:r>
    </w:p>
    <w:p w14:paraId="07681B44" w14:textId="77777777" w:rsidR="0033671B" w:rsidRPr="0033671B" w:rsidRDefault="0033671B" w:rsidP="0033671B">
      <w:pPr>
        <w:spacing w:line="360" w:lineRule="auto"/>
        <w:ind w:firstLine="709"/>
        <w:jc w:val="both"/>
      </w:pPr>
      <w:r w:rsidRPr="0033671B">
        <w:t>En este caso, los progenitores reconocían la ablación del clítoris de su hija, pero alegaban que el delito no había sido perpetrado en España, sino en Gambia, de donde eran naturales. Alegaban que la ablación se había practicado en una fecha comprendida entre el nacimiento de la niña, el 21 de mayo de 2009 y el 4 de septiembre de ese mismo año, momento en el que, junto a su madre, había viajado a España con objeto de la reunificación familiar con el progenitor, el cual, por su parte, llevaba más de diez años viviendo en este país. Sin embargo, tal versión pugnaba frontalmente con la prueba de cargo, esto es, con los resultados de sendas exploraciones pediátricas a las que había sido sometida la víctima en 2009 y 2010. En una primera revisión completa, realizada dentro del programa “</w:t>
      </w:r>
      <w:r w:rsidRPr="0033671B">
        <w:rPr>
          <w:iCs/>
        </w:rPr>
        <w:t>Niño Sano”</w:t>
      </w:r>
      <w:r w:rsidRPr="0033671B">
        <w:rPr>
          <w:i/>
          <w:iCs/>
        </w:rPr>
        <w:t xml:space="preserve"> </w:t>
      </w:r>
      <w:r w:rsidRPr="0033671B">
        <w:t xml:space="preserve">el 20 de noviembre de 2009 —esto es, cuando la víctima tenía seis meses y llevaba ya más de dos viviendo en España—, la pediatra había hecho notar en su informe la normalidad de los genitales, lo cual ratificaría posteriormente en el juicio. No obstante, en la revisión de 21 de junio de 2010, la doctora comprobó en la niña tanto la ausencia del clítoris por su extirpación total como una cicatriz que patentizaba que la ablación había sido realizada meses antes, aunque no se pudiera concretar exactamente la fecha. De ahí que, tras descartar un posible error en los informes de la doctora, se infiriese con total seguridad que la mutilación debió haberse llevado a cabo no cuando afirmaban los padres —es decir, antes del 4 de septiembre de 2009—, sino entre las fechas de ambas revisiones pediátricas. Teniendo en cuenta que durante ese lapso no habían abandonado España ni los padres ni la hija, se evidenciaba la comisión de la ablación en territorio nacional, bien directamente o bien a través de persona de identidad desconocida, pero con su beneplácito. Corolario de lo anterior era que la condena estaba sólidamente fundamentada: no sólo en la suficiencia, sino también en la contundencia de una prueba de cargo que desmentía el vacío probatorio denunciado por los progenitores. A la vista de tal prueba, no cabía duda de la autoría de los padres. En tanto que no había duda alguna, no entraba, pues, siquiera en juego el principio de </w:t>
      </w:r>
      <w:r w:rsidRPr="0033671B">
        <w:rPr>
          <w:i/>
        </w:rPr>
        <w:t>in dubio pro reo</w:t>
      </w:r>
      <w:r w:rsidRPr="0033671B">
        <w:t xml:space="preserve">. Se estaba ante una </w:t>
      </w:r>
      <w:r w:rsidRPr="0033671B">
        <w:rPr>
          <w:i/>
          <w:iCs/>
        </w:rPr>
        <w:t>“certeza más allá de toda duda razonable</w:t>
      </w:r>
      <w:r w:rsidRPr="0033671B">
        <w:rPr>
          <w:iCs/>
        </w:rPr>
        <w:t>”</w:t>
      </w:r>
      <w:r w:rsidRPr="0033671B">
        <w:t xml:space="preserve">, lo que llevaba a la conclusión final de que tampoco se había violado la presunción de inocencia. </w:t>
      </w:r>
    </w:p>
    <w:p w14:paraId="3FEABEF1" w14:textId="77777777" w:rsidR="0033671B" w:rsidRPr="0033671B" w:rsidRDefault="0033671B" w:rsidP="0033671B">
      <w:pPr>
        <w:spacing w:line="360" w:lineRule="auto"/>
        <w:ind w:firstLine="709"/>
        <w:jc w:val="both"/>
      </w:pPr>
      <w:r w:rsidRPr="0033671B">
        <w:lastRenderedPageBreak/>
        <w:t>Una argumentación muy similar la volvemos a encontrar en el caso de dos hermanas de origen gambiano, caso proveniente de un juzgado de instrucción de Vilanova i la Geltrú, que, andado el tiempo, desembocaría en la Audiencia Provincial de Barcelona y que acabaría siendo sentenciado por el Tribunal Supremo. De modo similar al proceso de Teruel, los acusados volvieron a sacar a colación la presunción de inocencia so capa de una eventual imposibilidad de concretar las circunstancias cronológicas en las que se había llevado a cabo la ablación. Empero, y al igual que en el caso de Teruel, a tenor del informe pericial, no resultaba posible conocer la fecha exacta, pero sí el período en el que la extirpación del clítoris de las dos menores había sido practicada. En efecto, en julio de 2010, la pediatra había efectuado un reconocimiento de ambas hermanas y no había detectado entonces ninguna afectación en sus órganos sexuales, afectación que sí constataría seis meses después, en enero de 2011, cuando en el correspondiente reconocimiento ginecológico comprobó que se les había extirpado el clítoris. Toda vez que tanto el padre como la madre habían vivido con sus hijas en el período citado, ello evidenciaba que la ablación había sido realizada “</w:t>
      </w:r>
      <w:r w:rsidRPr="0033671B">
        <w:rPr>
          <w:i/>
        </w:rPr>
        <w:t>si no por acción directa de los padres, cuando menos con su pleno conocimiento y autorización, si no a resultas de su petición</w:t>
      </w:r>
      <w:r w:rsidRPr="0033671B">
        <w:t>”. Dada la contundencia de los informes médicos con respecto al tiempo en que se había perpetrado la ablación y la falta de prueba sobre un hipotético cese de la convivencia de los dos progenitores con las menores a la sazón, no cabía más que concluir la objetividad relativa a la certeza sobre la autoría de los progenitores</w:t>
      </w:r>
      <w:r w:rsidRPr="0033671B">
        <w:rPr>
          <w:vertAlign w:val="superscript"/>
        </w:rPr>
        <w:footnoteReference w:id="25"/>
      </w:r>
      <w:r w:rsidRPr="0033671B">
        <w:t xml:space="preserve">. </w:t>
      </w:r>
    </w:p>
    <w:p w14:paraId="7A2F3632" w14:textId="2BAC0915" w:rsidR="0053247B" w:rsidRDefault="0033671B" w:rsidP="0033671B">
      <w:pPr>
        <w:spacing w:line="360" w:lineRule="auto"/>
        <w:ind w:firstLine="709"/>
        <w:jc w:val="both"/>
      </w:pPr>
      <w:r w:rsidRPr="0033671B">
        <w:t>En cambio, en otro asunto, sobre el que volveremos más adelante, el de una madre senegalesa domiciliada en la provincia de Barcelona, el Tribunal Supremo sí acabó considerando que, pese a los informes médicos obrantes en la causa; pese la testifical inequívoca de un enfermero del Centro de Atención Primaria de Premiá de Mar; y a pesar, en fin, de la sentencia condenatoria de la Audiencia Nacional, la prueba incriminatoria resultaba “</w:t>
      </w:r>
      <w:r w:rsidRPr="0033671B">
        <w:rPr>
          <w:i/>
        </w:rPr>
        <w:t>absolutamente insuficiente</w:t>
      </w:r>
      <w:r w:rsidRPr="0033671B">
        <w:t>”, así como “</w:t>
      </w:r>
      <w:r w:rsidRPr="0033671B">
        <w:rPr>
          <w:i/>
        </w:rPr>
        <w:t>abierta e insegura y no concluyente la valoración del indicio hecha por la Audiencia</w:t>
      </w:r>
      <w:r w:rsidRPr="0033671B">
        <w:t>”. De ahí que se dictara una sentencia absolutoria en el caso</w:t>
      </w:r>
      <w:r w:rsidRPr="0033671B">
        <w:rPr>
          <w:vertAlign w:val="superscript"/>
        </w:rPr>
        <w:footnoteReference w:id="26"/>
      </w:r>
      <w:r w:rsidRPr="0033671B">
        <w:t>.</w:t>
      </w:r>
    </w:p>
    <w:p w14:paraId="4E75DFE5" w14:textId="77777777" w:rsidR="000C7A11" w:rsidRPr="00774EEA" w:rsidRDefault="000C7A11" w:rsidP="0033671B">
      <w:pPr>
        <w:spacing w:line="360" w:lineRule="auto"/>
        <w:ind w:firstLine="709"/>
        <w:jc w:val="both"/>
      </w:pPr>
    </w:p>
    <w:p w14:paraId="01785CF8" w14:textId="031E9E2F" w:rsidR="00774EEA" w:rsidRDefault="0033671B" w:rsidP="00774EEA">
      <w:pPr>
        <w:spacing w:before="120" w:line="360" w:lineRule="auto"/>
        <w:ind w:left="709"/>
        <w:jc w:val="both"/>
        <w:rPr>
          <w:rFonts w:eastAsia="Times New Roman"/>
          <w:bCs/>
          <w:i/>
          <w:iCs/>
          <w:kern w:val="0"/>
          <w:szCs w:val="22"/>
          <w:lang w:eastAsia="es-ES"/>
          <w14:ligatures w14:val="none"/>
        </w:rPr>
      </w:pPr>
      <w:r>
        <w:rPr>
          <w:rFonts w:eastAsia="Times New Roman"/>
          <w:bCs/>
          <w:i/>
          <w:iCs/>
          <w:kern w:val="0"/>
          <w:szCs w:val="22"/>
          <w:lang w:eastAsia="es-ES"/>
          <w14:ligatures w14:val="none"/>
        </w:rPr>
        <w:lastRenderedPageBreak/>
        <w:t>3.2</w:t>
      </w:r>
      <w:r w:rsidR="00774EEA">
        <w:rPr>
          <w:rFonts w:eastAsia="Times New Roman"/>
          <w:bCs/>
          <w:i/>
          <w:iCs/>
          <w:kern w:val="0"/>
          <w:szCs w:val="22"/>
          <w:lang w:eastAsia="es-ES"/>
          <w14:ligatures w14:val="none"/>
        </w:rPr>
        <w:t>.</w:t>
      </w:r>
      <w:r w:rsidR="00774EEA" w:rsidRPr="00A22CDF">
        <w:rPr>
          <w:rFonts w:eastAsia="Times New Roman"/>
          <w:bCs/>
          <w:i/>
          <w:iCs/>
          <w:kern w:val="0"/>
          <w:szCs w:val="22"/>
          <w:lang w:eastAsia="es-ES"/>
          <w14:ligatures w14:val="none"/>
        </w:rPr>
        <w:t xml:space="preserve"> </w:t>
      </w:r>
      <w:r w:rsidRPr="0033671B">
        <w:rPr>
          <w:rFonts w:eastAsia="Times New Roman"/>
          <w:bCs/>
          <w:i/>
          <w:iCs/>
          <w:kern w:val="0"/>
          <w:szCs w:val="22"/>
          <w:lang w:eastAsia="es-ES"/>
          <w14:ligatures w14:val="none"/>
        </w:rPr>
        <w:t>La eventual falta de competencia de los tribunales españoles</w:t>
      </w:r>
    </w:p>
    <w:p w14:paraId="698D6051" w14:textId="77777777" w:rsidR="0033671B" w:rsidRPr="0033671B" w:rsidRDefault="0033671B" w:rsidP="0033671B">
      <w:pPr>
        <w:spacing w:before="120" w:line="360" w:lineRule="auto"/>
        <w:ind w:firstLine="709"/>
        <w:jc w:val="both"/>
      </w:pPr>
      <w:r w:rsidRPr="0033671B">
        <w:t>La posibilidad de una falta de competencia de los tribunales españoles ha sido otra de las razones invocadas por las defensas de algunos progenitores procesados por mutilación genital femenina. Ello tuvo como pretexto la promulgación de la ya mencionada LO 1/2014, que, modificando la LOPJ, había excluido el delito del ámbito de la jurisdicción universal.</w:t>
      </w:r>
    </w:p>
    <w:p w14:paraId="6FB4F70A" w14:textId="77777777" w:rsidR="0033671B" w:rsidRPr="0033671B" w:rsidRDefault="0033671B" w:rsidP="0033671B">
      <w:pPr>
        <w:spacing w:line="360" w:lineRule="auto"/>
        <w:ind w:firstLine="709"/>
        <w:jc w:val="both"/>
      </w:pPr>
      <w:r w:rsidRPr="0033671B">
        <w:t>El caso más conocido a este respecto fue el de tres niñas de una familia de la etnia sarahule de Gambia. La mayor había sufrido en 2005 la mutilación en su país de origen; de modo que existían indicios serios de riesgo de que a las dos menores también se les practicara en el futuro. Por ello, mediante auto de 30 de septiembre de 2013 y en virtud del art. 23.4 g) LOPJ, entonces vigente, se declaró a ambos progenitores procesados por el delito de mutilación genital femenina y otro de conspiración para la mutilación genital femenina</w:t>
      </w:r>
      <w:r w:rsidRPr="0033671B">
        <w:rPr>
          <w:vertAlign w:val="superscript"/>
        </w:rPr>
        <w:footnoteReference w:id="27"/>
      </w:r>
      <w:r w:rsidRPr="0033671B">
        <w:t>.</w:t>
      </w:r>
    </w:p>
    <w:p w14:paraId="0C761EE4" w14:textId="77777777" w:rsidR="0033671B" w:rsidRPr="0033671B" w:rsidRDefault="0033671B" w:rsidP="0033671B">
      <w:pPr>
        <w:spacing w:line="360" w:lineRule="auto"/>
        <w:ind w:firstLine="709"/>
        <w:jc w:val="both"/>
      </w:pPr>
      <w:r w:rsidRPr="0033671B">
        <w:t>No obstante, pocos meses después de aquella resolución, entraría en vigor la LO 1/2014 que, como se ha indicado, excluía el delito del art. 149.2 CP del ámbito de la justicia universal. Aprovechando, pues, este cambio, el 9 de julio de ese mismo año, la representación procesal de la progenitora acusada solicitó el sobreseimiento, al entender que los tribunales españoles carecían de competencia para enjuiciar hechos ocurridos en el extranjero, conforme a la legalidad del país de origen, perpetrados por nacionales de Gambia y no tipificados allí como delito. Mas, como hemos apuntado más arriba al tratar esta cuestión, tras la reforma, el art. 23.4.l LOPJ ha preservado un título de jurisdicción extraterritorial en relación con el Convenio de Estambul. De modo que la jurisdicción española sí puede conocer de hechos cometidos fuera de España que, conforme a la ley interna, encajen entre los delitos regulados por dicho tratado, siempre que concurra alguno de estos puntos de conexión: que el procedimiento se dirija contra un español; que se dirija contra un extranjero con residencia habitual en España; o que la víctima tuviera, al tiempo de los hechos, nacionalidad española o residencia habitual en España; y, en todo caso, que la persona a la que se imputa el delito se encuentre en España.</w:t>
      </w:r>
    </w:p>
    <w:p w14:paraId="2A8BC5CE" w14:textId="77777777" w:rsidR="0033671B" w:rsidRPr="0033671B" w:rsidRDefault="0033671B" w:rsidP="0033671B">
      <w:pPr>
        <w:spacing w:line="360" w:lineRule="auto"/>
        <w:ind w:firstLine="709"/>
        <w:jc w:val="both"/>
      </w:pPr>
      <w:r w:rsidRPr="0033671B">
        <w:t xml:space="preserve">Por providencia de 11 de julio de 2014 se acordó abocar la cuestión competencial al Pleno de la Audiencia Nacional, el cual en fecha 3 de octubre de 2014, el cual confirmó </w:t>
      </w:r>
      <w:r w:rsidRPr="0033671B">
        <w:lastRenderedPageBreak/>
        <w:t>la competencia de la jurisdicción española. Días después, y aplicando esta doctrina al caso concreto de las tres hermanas gambianas, dicho Pleno dictó auto el 15 de octubre de 2014 en el que declaró la competencia de la jurisdicción española. Esta resolución fue recurrida en casación por los acusados. Sin embargo, el Tribunal Supremo, avalando la postura de la Audiencia Nacional, acabaría entendiendo que no había lugar a tal recurso.</w:t>
      </w:r>
    </w:p>
    <w:p w14:paraId="4F30336C" w14:textId="77777777" w:rsidR="0033671B" w:rsidRPr="0033671B" w:rsidRDefault="0033671B" w:rsidP="0033671B">
      <w:pPr>
        <w:spacing w:line="360" w:lineRule="auto"/>
        <w:ind w:firstLine="709"/>
        <w:jc w:val="both"/>
      </w:pPr>
      <w:r w:rsidRPr="0033671B">
        <w:t>Dos años más tarde —esta vez ante la Audiencia Provincial de Jaén— la modificación de la LO 1/2014 volvió a esgrimirse para cuestionar la competencia española en un supuesto de ablación practicada a una menor en su Mauritania natal</w:t>
      </w:r>
      <w:r w:rsidRPr="0033671B">
        <w:rPr>
          <w:vertAlign w:val="superscript"/>
        </w:rPr>
        <w:footnoteReference w:id="28"/>
      </w:r>
      <w:r w:rsidRPr="0033671B">
        <w:t>. La defensa sostuvo que, tras la reforma, la LOPJ había dejado de mencionar expresamente la ablación entre los delitos perseguibles por jurisdicción universal y que la eventual competencia solo podía apoyarse en el Convenio de Estambul, el cual no había entrado en vigor en España hasta el 1 de agosto de 2014, fecha, pues, posterior a la realización de la mutilación, según podía deducirse por la antigüedad de las cicatrices de la víctima. Se añadió, además, que la presunta autora —la abuela materna— no se hallaba en territorio español, por lo que no concurrían los puntos de conexión exigidos por el art. 23.4.l LOPJ. A mayor abundamiento, se invocó el cumplimiento del art. 23.6 LOPJ, desde el entendido de que procesalmente se habría requerido una querella previa por parte del Ministerio Fiscal, querella inexistente en dicho caso, por cuanto el procedimiento había sido incoado a partir de un parte pediátrico, en el que el fiscal se había limitado a interesar diligencias y medidas cautelares</w:t>
      </w:r>
      <w:r w:rsidRPr="0033671B">
        <w:rPr>
          <w:vertAlign w:val="superscript"/>
        </w:rPr>
        <w:footnoteReference w:id="29"/>
      </w:r>
      <w:r w:rsidRPr="0033671B">
        <w:t>.</w:t>
      </w:r>
    </w:p>
    <w:p w14:paraId="067995E6" w14:textId="073189EF" w:rsidR="00774EEA" w:rsidRDefault="0033671B" w:rsidP="0033671B">
      <w:pPr>
        <w:spacing w:line="360" w:lineRule="auto"/>
        <w:ind w:firstLine="709"/>
        <w:jc w:val="both"/>
      </w:pPr>
      <w:r w:rsidRPr="0033671B">
        <w:t xml:space="preserve">Y, en efecto las actuaciones se habían iniciado a raíz de un informe pediátrico que alertaba de la posible mutilación a una menor nacida en 2010 en Mauritania. Un informe forense de 22 de noviembre de 2016 había corroborado, así, la ausencia de labios menores y del capuchón del clítoris de la niña, todo ello compatible con una práctica antigua, aunque de fecha indeterminada, ocurrida fuera de España. Constaba, además, en las actuaciones la entrada en territorio nacional de la menor y su madre el 5 de mayo de 2016 y la residencia legal y habitual de ambos progenitores y de la niña desde el 1 de septiembre de ese mismo año. Pues bien, sobre esta base, la Audiencia Provincial de Jaén apreció indicios suficientes de la comisión de un delito de lesiones cualificadas cometido en </w:t>
      </w:r>
      <w:r w:rsidRPr="0033671B">
        <w:lastRenderedPageBreak/>
        <w:t>Mauritania, inicialmente imputado a ambos progenitores, residentes en España. Con respecto al art. 23 LOPJ, confirmó la competencia de la jurisdicción española. Por último, descartó que la ausencia de querella del Ministerio Fiscal alegada por la defensa constituyera óbice procesal. Sobre este particular, interpretó el art. 23.6 LOPJ, en el sentido de que la exigencia de querella del ofendido o del fiscal impide actuaciones de oficio, pero queda satisfecha cuando el Ministerio Público impulsa las diligencias, solicita medidas cautelares y sostiene la acción penal frente a la pretensión de sobreseimiento, como, de hecho, había ocurrido en este caso</w:t>
      </w:r>
      <w:r w:rsidR="00774EEA" w:rsidRPr="00774EEA">
        <w:t>.</w:t>
      </w:r>
    </w:p>
    <w:p w14:paraId="69E31087" w14:textId="59BB78AD" w:rsidR="00774EEA" w:rsidRDefault="000C7A11" w:rsidP="00774EEA">
      <w:pPr>
        <w:spacing w:before="120" w:line="360" w:lineRule="auto"/>
        <w:ind w:left="709"/>
        <w:jc w:val="both"/>
        <w:rPr>
          <w:rFonts w:eastAsia="Times New Roman"/>
          <w:bCs/>
          <w:i/>
          <w:iCs/>
          <w:kern w:val="0"/>
          <w:szCs w:val="22"/>
          <w:lang w:eastAsia="es-ES"/>
          <w14:ligatures w14:val="none"/>
        </w:rPr>
      </w:pPr>
      <w:r>
        <w:rPr>
          <w:rFonts w:eastAsia="Times New Roman"/>
          <w:bCs/>
          <w:i/>
          <w:iCs/>
          <w:kern w:val="0"/>
          <w:szCs w:val="22"/>
          <w:lang w:eastAsia="es-ES"/>
          <w14:ligatures w14:val="none"/>
        </w:rPr>
        <w:t>3.3</w:t>
      </w:r>
      <w:r w:rsidR="00774EEA" w:rsidRPr="00A22CDF">
        <w:rPr>
          <w:rFonts w:eastAsia="Times New Roman"/>
          <w:bCs/>
          <w:i/>
          <w:iCs/>
          <w:kern w:val="0"/>
          <w:szCs w:val="22"/>
          <w:lang w:eastAsia="es-ES"/>
          <w14:ligatures w14:val="none"/>
        </w:rPr>
        <w:t xml:space="preserve">. </w:t>
      </w:r>
      <w:r w:rsidRPr="000C7A11">
        <w:rPr>
          <w:rFonts w:eastAsia="Times New Roman"/>
          <w:bCs/>
          <w:i/>
          <w:iCs/>
          <w:kern w:val="0"/>
          <w:szCs w:val="22"/>
          <w:lang w:eastAsia="es-ES"/>
          <w14:ligatures w14:val="none"/>
        </w:rPr>
        <w:t>La justificación cultural o religiosa</w:t>
      </w:r>
    </w:p>
    <w:p w14:paraId="0E0E02C2" w14:textId="77777777" w:rsidR="000C7A11" w:rsidRPr="000C7A11" w:rsidRDefault="000C7A11" w:rsidP="000C7A11">
      <w:pPr>
        <w:spacing w:before="120" w:line="360" w:lineRule="auto"/>
        <w:ind w:firstLine="709"/>
        <w:jc w:val="both"/>
        <w:rPr>
          <w:b/>
        </w:rPr>
      </w:pPr>
      <w:r w:rsidRPr="000C7A11">
        <w:t>Los progenitores</w:t>
      </w:r>
      <w:r w:rsidRPr="000C7A11">
        <w:rPr>
          <w:b/>
        </w:rPr>
        <w:t xml:space="preserve"> </w:t>
      </w:r>
      <w:r w:rsidRPr="000C7A11">
        <w:rPr>
          <w:bCs/>
        </w:rPr>
        <w:t>procesados han</w:t>
      </w:r>
      <w:r w:rsidRPr="000C7A11">
        <w:rPr>
          <w:b/>
        </w:rPr>
        <w:t xml:space="preserve"> </w:t>
      </w:r>
      <w:r w:rsidRPr="000C7A11">
        <w:t>invocado a veces</w:t>
      </w:r>
      <w:r w:rsidRPr="000C7A11">
        <w:rPr>
          <w:b/>
        </w:rPr>
        <w:t xml:space="preserve"> </w:t>
      </w:r>
      <w:r w:rsidRPr="000C7A11">
        <w:rPr>
          <w:bCs/>
        </w:rPr>
        <w:t>convicciones religiosas</w:t>
      </w:r>
      <w:r w:rsidRPr="000C7A11">
        <w:rPr>
          <w:b/>
        </w:rPr>
        <w:t xml:space="preserve"> </w:t>
      </w:r>
      <w:r w:rsidRPr="000C7A11">
        <w:t>o</w:t>
      </w:r>
      <w:r w:rsidRPr="000C7A11">
        <w:rPr>
          <w:b/>
        </w:rPr>
        <w:t xml:space="preserve"> </w:t>
      </w:r>
      <w:r w:rsidRPr="000C7A11">
        <w:rPr>
          <w:bCs/>
        </w:rPr>
        <w:t>pautas culturales</w:t>
      </w:r>
      <w:r w:rsidRPr="000C7A11">
        <w:rPr>
          <w:b/>
        </w:rPr>
        <w:t xml:space="preserve"> </w:t>
      </w:r>
      <w:r w:rsidRPr="000C7A11">
        <w:t>para intentar justificar la</w:t>
      </w:r>
      <w:r w:rsidRPr="000C7A11">
        <w:rPr>
          <w:b/>
        </w:rPr>
        <w:t xml:space="preserve"> </w:t>
      </w:r>
      <w:r w:rsidRPr="000C7A11">
        <w:rPr>
          <w:bCs/>
        </w:rPr>
        <w:t xml:space="preserve">mutilación </w:t>
      </w:r>
      <w:r w:rsidRPr="000C7A11">
        <w:t xml:space="preserve">practicada a sus hijas. </w:t>
      </w:r>
      <w:r w:rsidRPr="000C7A11">
        <w:rPr>
          <w:bCs/>
        </w:rPr>
        <w:t>Así ocurrió, por ejemplo,  en el proceso ya citado d</w:t>
      </w:r>
      <w:r w:rsidRPr="000C7A11">
        <w:t xml:space="preserve">e las </w:t>
      </w:r>
      <w:r w:rsidRPr="000C7A11">
        <w:rPr>
          <w:bCs/>
        </w:rPr>
        <w:t>tres niñas gambianas (</w:t>
      </w:r>
      <w:r w:rsidRPr="000C7A11">
        <w:rPr>
          <w:bCs/>
          <w:i/>
        </w:rPr>
        <w:t>vid. supra</w:t>
      </w:r>
      <w:r w:rsidRPr="000C7A11">
        <w:rPr>
          <w:bCs/>
        </w:rPr>
        <w:t>), cuyo padre</w:t>
      </w:r>
      <w:r w:rsidRPr="000C7A11">
        <w:rPr>
          <w:b/>
        </w:rPr>
        <w:t xml:space="preserve"> </w:t>
      </w:r>
      <w:r w:rsidRPr="000C7A11">
        <w:t>interesó el</w:t>
      </w:r>
      <w:r w:rsidRPr="000C7A11">
        <w:rPr>
          <w:b/>
        </w:rPr>
        <w:t xml:space="preserve"> </w:t>
      </w:r>
      <w:r w:rsidRPr="000C7A11">
        <w:rPr>
          <w:bCs/>
        </w:rPr>
        <w:t>sobreseimiento libre</w:t>
      </w:r>
      <w:r w:rsidRPr="000C7A11">
        <w:rPr>
          <w:b/>
        </w:rPr>
        <w:t xml:space="preserve"> </w:t>
      </w:r>
      <w:r w:rsidRPr="000C7A11">
        <w:t>al alegar que la ablación</w:t>
      </w:r>
      <w:r w:rsidRPr="000C7A11">
        <w:rPr>
          <w:b/>
        </w:rPr>
        <w:t xml:space="preserve"> </w:t>
      </w:r>
      <w:r w:rsidRPr="000C7A11">
        <w:rPr>
          <w:bCs/>
        </w:rPr>
        <w:t>constituía una práctica tradicional y consuetudinaria</w:t>
      </w:r>
      <w:r w:rsidRPr="000C7A11">
        <w:rPr>
          <w:b/>
        </w:rPr>
        <w:t xml:space="preserve"> </w:t>
      </w:r>
      <w:r w:rsidRPr="000C7A11">
        <w:t>en su país de origen,</w:t>
      </w:r>
      <w:r w:rsidRPr="000C7A11">
        <w:rPr>
          <w:b/>
        </w:rPr>
        <w:t xml:space="preserve"> </w:t>
      </w:r>
      <w:r w:rsidRPr="000C7A11">
        <w:rPr>
          <w:bCs/>
        </w:rPr>
        <w:t>no tipificada como delito</w:t>
      </w:r>
      <w:r w:rsidRPr="000C7A11">
        <w:t xml:space="preserve">; costumbre que llegó incluso a </w:t>
      </w:r>
      <w:r w:rsidRPr="000C7A11">
        <w:rPr>
          <w:bCs/>
        </w:rPr>
        <w:t>equiparar —a modo de contrargumento cultural— con las corridas de toros en España</w:t>
      </w:r>
      <w:r w:rsidRPr="000C7A11">
        <w:rPr>
          <w:bCs/>
          <w:vertAlign w:val="superscript"/>
        </w:rPr>
        <w:footnoteReference w:id="30"/>
      </w:r>
      <w:r w:rsidRPr="000C7A11">
        <w:rPr>
          <w:vertAlign w:val="superscript"/>
        </w:rPr>
        <w:t>.</w:t>
      </w:r>
      <w:r w:rsidRPr="000C7A11">
        <w:rPr>
          <w:b/>
        </w:rPr>
        <w:t xml:space="preserve"> </w:t>
      </w:r>
    </w:p>
    <w:p w14:paraId="4A8C8064" w14:textId="77777777" w:rsidR="000C7A11" w:rsidRPr="000C7A11" w:rsidRDefault="000C7A11" w:rsidP="000C7A11">
      <w:pPr>
        <w:spacing w:line="360" w:lineRule="auto"/>
        <w:ind w:firstLine="709"/>
        <w:jc w:val="both"/>
      </w:pPr>
      <w:r w:rsidRPr="000C7A11">
        <w:t>La consideración de la costumbre como un mandato cultural o religioso que, a guisa de una suerte de objeción de conciencia, la familia no podía eludir, fue igualmente otro de los ejes sobre los que se fundamentó la defensa en el proceso ya citado de la Audiencia Provincial de Teruel</w:t>
      </w:r>
      <w:r w:rsidRPr="000C7A11">
        <w:rPr>
          <w:vertAlign w:val="superscript"/>
        </w:rPr>
        <w:footnoteReference w:id="31"/>
      </w:r>
      <w:r w:rsidRPr="000C7A11">
        <w:t>. Sobre la base de que los acusados pertenecían a una comunidad donde la mutilación genital femenina formaba parte de una arraigada tradición, se adujeron tres de las eximentes recogidas en el art. 20 CP: la alteración en la percepción, el miedo insuperable y el estado de necesidad</w:t>
      </w:r>
      <w:r w:rsidRPr="000C7A11">
        <w:rPr>
          <w:vertAlign w:val="superscript"/>
        </w:rPr>
        <w:footnoteReference w:id="32"/>
      </w:r>
      <w:r w:rsidRPr="000C7A11">
        <w:t xml:space="preserve">. La Audiencia Provincial, sin embargo, rechazó de plano esa apelación y lo hizo en el entendido de que el </w:t>
      </w:r>
      <w:r w:rsidRPr="000C7A11">
        <w:rPr>
          <w:bCs/>
        </w:rPr>
        <w:t>“</w:t>
      </w:r>
      <w:r w:rsidRPr="000C7A11">
        <w:rPr>
          <w:bCs/>
          <w:i/>
        </w:rPr>
        <w:t>peso de la tradición</w:t>
      </w:r>
      <w:r w:rsidRPr="000C7A11">
        <w:rPr>
          <w:bCs/>
        </w:rPr>
        <w:t>”</w:t>
      </w:r>
      <w:r w:rsidRPr="000C7A11">
        <w:t xml:space="preserve"> no podía colmar los requisitos de ninguna eximente. Además, y en virtud del </w:t>
      </w:r>
      <w:r w:rsidRPr="000C7A11">
        <w:lastRenderedPageBreak/>
        <w:t>art. 3.2 LO 4/2000 (</w:t>
      </w:r>
      <w:r w:rsidRPr="000C7A11">
        <w:rPr>
          <w:i/>
        </w:rPr>
        <w:t>vid. supra</w:t>
      </w:r>
      <w:r w:rsidRPr="000C7A11">
        <w:t xml:space="preserve">), arguyó que el ordenamiento </w:t>
      </w:r>
      <w:r w:rsidRPr="000C7A11">
        <w:rPr>
          <w:bCs/>
        </w:rPr>
        <w:t>no permite invocar creencias o convicciones culturales para legitimar conductas contrarias a los derechos fundamentales</w:t>
      </w:r>
      <w:r w:rsidRPr="000C7A11">
        <w:t>. Retrotrayéndose a la LO 3/2005 y a su cláusula de jurisdicción universal, a la sazón todavía vigente, así como al art. 3 del Convenio Europeo de Derechos Humanos</w:t>
      </w:r>
      <w:r w:rsidRPr="000C7A11">
        <w:rPr>
          <w:vertAlign w:val="superscript"/>
        </w:rPr>
        <w:footnoteReference w:id="33"/>
      </w:r>
      <w:r w:rsidRPr="000C7A11">
        <w:t xml:space="preserve">, la Audiencia recordó que el carácter </w:t>
      </w:r>
      <w:r w:rsidRPr="000C7A11">
        <w:rPr>
          <w:bCs/>
        </w:rPr>
        <w:t>ancestral</w:t>
      </w:r>
      <w:r w:rsidRPr="000C7A11">
        <w:t xml:space="preserve"> de la ablación no impedía su consideración como trato inhumano y degradante que había que prevenir, perseguir y sancionar.</w:t>
      </w:r>
    </w:p>
    <w:p w14:paraId="0B266891" w14:textId="77777777" w:rsidR="000C7A11" w:rsidRPr="000C7A11" w:rsidRDefault="000C7A11" w:rsidP="000C7A11">
      <w:pPr>
        <w:spacing w:line="360" w:lineRule="auto"/>
        <w:ind w:firstLine="709"/>
        <w:jc w:val="both"/>
      </w:pPr>
      <w:r w:rsidRPr="000C7A11">
        <w:t xml:space="preserve">Cuando, </w:t>
      </w:r>
      <w:r w:rsidRPr="000C7A11">
        <w:rPr>
          <w:bCs/>
          <w:iCs/>
        </w:rPr>
        <w:t xml:space="preserve">vía recurso, </w:t>
      </w:r>
      <w:r w:rsidRPr="000C7A11">
        <w:t>el asunto</w:t>
      </w:r>
      <w:r w:rsidRPr="000C7A11">
        <w:rPr>
          <w:bCs/>
          <w:iCs/>
        </w:rPr>
        <w:t xml:space="preserve"> </w:t>
      </w:r>
      <w:r w:rsidRPr="000C7A11">
        <w:t>llegó al Tribunal Supremo, la defensa insistió en la misma clave: la ablación no era sino una costumbre milenaria orientada a la integración social de la niña en su comunidad de origen. Mas el Supremo fijó el límite con nitidez dejando sentado que</w:t>
      </w:r>
      <w:r w:rsidRPr="000C7A11">
        <w:rPr>
          <w:bCs/>
        </w:rPr>
        <w:t xml:space="preserve"> la integridad física y moral</w:t>
      </w:r>
      <w:r w:rsidRPr="000C7A11">
        <w:t xml:space="preserve"> de la menor constituía un bien jurídico indisponible frente a cualquier alegación cultural; que el </w:t>
      </w:r>
      <w:r w:rsidRPr="000C7A11">
        <w:rPr>
          <w:bCs/>
        </w:rPr>
        <w:t>respeto a las tradiciones era incompatible con tan flagrante</w:t>
      </w:r>
      <w:r w:rsidRPr="000C7A11">
        <w:t xml:space="preserve"> vulneración de los </w:t>
      </w:r>
      <w:r w:rsidRPr="000C7A11">
        <w:rPr>
          <w:bCs/>
        </w:rPr>
        <w:t>derechos humanos</w:t>
      </w:r>
      <w:r w:rsidRPr="000C7A11">
        <w:rPr>
          <w:vertAlign w:val="superscript"/>
        </w:rPr>
        <w:footnoteReference w:id="34"/>
      </w:r>
      <w:r w:rsidRPr="000C7A11">
        <w:t>.</w:t>
      </w:r>
    </w:p>
    <w:p w14:paraId="5B863194" w14:textId="77777777" w:rsidR="000C7A11" w:rsidRPr="000C7A11" w:rsidRDefault="000C7A11" w:rsidP="000C7A11">
      <w:pPr>
        <w:spacing w:line="360" w:lineRule="auto"/>
        <w:ind w:firstLine="709"/>
        <w:jc w:val="both"/>
      </w:pPr>
      <w:r w:rsidRPr="000C7A11">
        <w:t xml:space="preserve">El </w:t>
      </w:r>
      <w:r w:rsidRPr="000C7A11">
        <w:rPr>
          <w:bCs/>
        </w:rPr>
        <w:t>mismo alegato cultural</w:t>
      </w:r>
      <w:r w:rsidRPr="000C7A11">
        <w:t xml:space="preserve"> reaparecería el año siguiente ante la </w:t>
      </w:r>
      <w:r w:rsidRPr="000C7A11">
        <w:rPr>
          <w:bCs/>
        </w:rPr>
        <w:t>Audiencia Nacional</w:t>
      </w:r>
      <w:r w:rsidRPr="000C7A11">
        <w:t xml:space="preserve">. Se sostuvo que la </w:t>
      </w:r>
      <w:r w:rsidRPr="000C7A11">
        <w:rPr>
          <w:bCs/>
        </w:rPr>
        <w:t>ablación de la menor</w:t>
      </w:r>
      <w:r w:rsidRPr="000C7A11">
        <w:t xml:space="preserve"> obedecía a </w:t>
      </w:r>
      <w:r w:rsidRPr="000C7A11">
        <w:rPr>
          <w:bCs/>
        </w:rPr>
        <w:t>motivos religiosos</w:t>
      </w:r>
      <w:r w:rsidRPr="000C7A11">
        <w:t xml:space="preserve"> y a </w:t>
      </w:r>
      <w:r w:rsidRPr="000C7A11">
        <w:rPr>
          <w:bCs/>
        </w:rPr>
        <w:t>pautas culturales</w:t>
      </w:r>
      <w:r w:rsidRPr="000C7A11">
        <w:t xml:space="preserve"> arraigadas en </w:t>
      </w:r>
      <w:r w:rsidRPr="000C7A11">
        <w:rPr>
          <w:bCs/>
        </w:rPr>
        <w:t>zonas rurales de Senegal</w:t>
      </w:r>
      <w:r w:rsidRPr="000C7A11">
        <w:t xml:space="preserve">, y que, por su condición de inmigrante, la madre había actuado amparada por su </w:t>
      </w:r>
      <w:r w:rsidRPr="000C7A11">
        <w:rPr>
          <w:bCs/>
        </w:rPr>
        <w:t>tradición</w:t>
      </w:r>
      <w:r w:rsidRPr="000C7A11">
        <w:t xml:space="preserve">. De acuerdo con los artículos 2.f de la CEDAW y con el </w:t>
      </w:r>
      <w:r w:rsidRPr="000C7A11">
        <w:rPr>
          <w:bCs/>
        </w:rPr>
        <w:t>3.2 de la LO 4/2000, s</w:t>
      </w:r>
      <w:r w:rsidRPr="000C7A11">
        <w:t xml:space="preserve">e insistió en que, tanto para los nacionales como también para los </w:t>
      </w:r>
      <w:r w:rsidRPr="000C7A11">
        <w:rPr>
          <w:bCs/>
        </w:rPr>
        <w:t>extranjeros</w:t>
      </w:r>
      <w:r w:rsidRPr="000C7A11">
        <w:t xml:space="preserve">, el </w:t>
      </w:r>
      <w:r w:rsidRPr="000C7A11">
        <w:rPr>
          <w:bCs/>
        </w:rPr>
        <w:t>presupuesto normativo</w:t>
      </w:r>
      <w:r w:rsidRPr="000C7A11">
        <w:t xml:space="preserve"> en España era el </w:t>
      </w:r>
      <w:r w:rsidRPr="000C7A11">
        <w:rPr>
          <w:bCs/>
        </w:rPr>
        <w:t>respeto a los derechos humanos</w:t>
      </w:r>
      <w:r w:rsidRPr="000C7A11">
        <w:t xml:space="preserve">, respeto que </w:t>
      </w:r>
      <w:r w:rsidRPr="000C7A11">
        <w:rPr>
          <w:bCs/>
        </w:rPr>
        <w:t>no podía eludirse</w:t>
      </w:r>
      <w:r w:rsidRPr="000C7A11">
        <w:t xml:space="preserve"> por razones </w:t>
      </w:r>
      <w:r w:rsidRPr="000C7A11">
        <w:rPr>
          <w:bCs/>
        </w:rPr>
        <w:t>culturales, religiosas o ideológicas</w:t>
      </w:r>
      <w:r w:rsidRPr="000C7A11">
        <w:t xml:space="preserve">, de modo que el carácter </w:t>
      </w:r>
      <w:r w:rsidRPr="000C7A11">
        <w:rPr>
          <w:bCs/>
        </w:rPr>
        <w:t>tradicional de tal práctica no era óbice para su penalización</w:t>
      </w:r>
      <w:r w:rsidRPr="000C7A11">
        <w:t xml:space="preserve">. En suma: la </w:t>
      </w:r>
      <w:r w:rsidRPr="000C7A11">
        <w:rPr>
          <w:bCs/>
        </w:rPr>
        <w:t>costumbre invocada</w:t>
      </w:r>
      <w:r w:rsidRPr="000C7A11">
        <w:t xml:space="preserve"> no amparaba la conducta delictiva ni </w:t>
      </w:r>
      <w:r w:rsidRPr="000C7A11">
        <w:rPr>
          <w:bCs/>
        </w:rPr>
        <w:t>eximía de responsabilidad penal a sus autores</w:t>
      </w:r>
      <w:r w:rsidRPr="000C7A11">
        <w:rPr>
          <w:bCs/>
          <w:vertAlign w:val="superscript"/>
        </w:rPr>
        <w:footnoteReference w:id="35"/>
      </w:r>
      <w:r w:rsidRPr="000C7A11">
        <w:t>.</w:t>
      </w:r>
    </w:p>
    <w:p w14:paraId="079E927F" w14:textId="02416347" w:rsidR="00937BED" w:rsidRDefault="00673BC4" w:rsidP="00937BED">
      <w:pPr>
        <w:spacing w:before="120" w:line="360" w:lineRule="auto"/>
        <w:ind w:left="709"/>
        <w:jc w:val="both"/>
        <w:rPr>
          <w:rFonts w:eastAsia="Times New Roman"/>
          <w:bCs/>
          <w:i/>
          <w:iCs/>
          <w:kern w:val="0"/>
          <w:szCs w:val="22"/>
          <w:lang w:eastAsia="es-ES"/>
          <w14:ligatures w14:val="none"/>
        </w:rPr>
      </w:pPr>
      <w:r>
        <w:rPr>
          <w:rFonts w:eastAsia="Times New Roman"/>
          <w:bCs/>
          <w:i/>
          <w:iCs/>
          <w:kern w:val="0"/>
          <w:szCs w:val="22"/>
          <w:lang w:eastAsia="es-ES"/>
          <w14:ligatures w14:val="none"/>
        </w:rPr>
        <w:t>3</w:t>
      </w:r>
      <w:r w:rsidR="00937BED" w:rsidRPr="00A22CDF">
        <w:rPr>
          <w:rFonts w:eastAsia="Times New Roman"/>
          <w:bCs/>
          <w:i/>
          <w:iCs/>
          <w:kern w:val="0"/>
          <w:szCs w:val="22"/>
          <w:lang w:eastAsia="es-ES"/>
          <w14:ligatures w14:val="none"/>
        </w:rPr>
        <w:t>.</w:t>
      </w:r>
      <w:r>
        <w:rPr>
          <w:rFonts w:eastAsia="Times New Roman"/>
          <w:bCs/>
          <w:i/>
          <w:iCs/>
          <w:kern w:val="0"/>
          <w:szCs w:val="22"/>
          <w:lang w:eastAsia="es-ES"/>
          <w14:ligatures w14:val="none"/>
        </w:rPr>
        <w:t>4</w:t>
      </w:r>
      <w:r w:rsidR="00937BED" w:rsidRPr="00A22CDF">
        <w:rPr>
          <w:rFonts w:eastAsia="Times New Roman"/>
          <w:bCs/>
          <w:i/>
          <w:iCs/>
          <w:kern w:val="0"/>
          <w:szCs w:val="22"/>
          <w:lang w:eastAsia="es-ES"/>
          <w14:ligatures w14:val="none"/>
        </w:rPr>
        <w:t xml:space="preserve">. </w:t>
      </w:r>
      <w:r w:rsidRPr="00673BC4">
        <w:rPr>
          <w:rFonts w:eastAsia="Times New Roman"/>
          <w:bCs/>
          <w:i/>
          <w:iCs/>
          <w:kern w:val="0"/>
          <w:szCs w:val="22"/>
          <w:lang w:eastAsia="es-ES"/>
          <w14:ligatures w14:val="none"/>
        </w:rPr>
        <w:t>El error de prohibición</w:t>
      </w:r>
    </w:p>
    <w:p w14:paraId="612DBC9F" w14:textId="77777777" w:rsidR="00673BC4" w:rsidRPr="00673BC4" w:rsidRDefault="00673BC4" w:rsidP="00673BC4">
      <w:pPr>
        <w:spacing w:before="120" w:line="360" w:lineRule="auto"/>
        <w:ind w:firstLine="709"/>
        <w:jc w:val="both"/>
        <w:rPr>
          <w:rFonts w:eastAsia="Times New Roman"/>
          <w:bCs/>
          <w:iCs/>
          <w:kern w:val="0"/>
          <w:szCs w:val="22"/>
          <w:lang w:eastAsia="es-ES"/>
          <w14:ligatures w14:val="none"/>
        </w:rPr>
      </w:pPr>
      <w:r w:rsidRPr="00673BC4">
        <w:rPr>
          <w:rFonts w:eastAsia="Times New Roman"/>
          <w:bCs/>
          <w:iCs/>
          <w:kern w:val="0"/>
          <w:szCs w:val="22"/>
          <w:lang w:eastAsia="es-ES"/>
          <w14:ligatures w14:val="none"/>
        </w:rPr>
        <w:t xml:space="preserve">Estrechamente ligado al argumento anterior sobre la práctica consuetudinaria de la ablación está el del error de prohibición. En este caso, se aduce que, siendo una costumbre permitida en su país de origen —lo cual viene a enlazar con el discurso </w:t>
      </w:r>
      <w:r w:rsidRPr="00673BC4">
        <w:rPr>
          <w:rFonts w:eastAsia="Times New Roman"/>
          <w:bCs/>
          <w:iCs/>
          <w:kern w:val="0"/>
          <w:szCs w:val="22"/>
          <w:lang w:eastAsia="es-ES"/>
          <w14:ligatures w14:val="none"/>
        </w:rPr>
        <w:lastRenderedPageBreak/>
        <w:t>anterior—, los procesados desconocen que constituya un delito en España. El Tribunal Supremo ha reconocido a este respecto</w:t>
      </w:r>
      <w:r w:rsidRPr="00673BC4">
        <w:rPr>
          <w:rFonts w:eastAsia="Times New Roman"/>
          <w:bCs/>
          <w:kern w:val="0"/>
          <w:szCs w:val="22"/>
          <w:lang w:eastAsia="es-ES"/>
          <w14:ligatures w14:val="none"/>
        </w:rPr>
        <w:t xml:space="preserve"> que el error de prohibición es el reverso de la conciencia de antijuridicidad. De acuerdo con el </w:t>
      </w:r>
      <w:r w:rsidRPr="00673BC4">
        <w:rPr>
          <w:rFonts w:eastAsia="Times New Roman"/>
          <w:bCs/>
          <w:iCs/>
          <w:kern w:val="0"/>
          <w:szCs w:val="22"/>
          <w:lang w:eastAsia="es-ES"/>
          <w14:ligatures w14:val="none"/>
        </w:rPr>
        <w:t>art.14.3 CP existen dos clases de error: el vencible y el invencible</w:t>
      </w:r>
      <w:r w:rsidRPr="00673BC4">
        <w:rPr>
          <w:rFonts w:eastAsia="Times New Roman"/>
          <w:bCs/>
          <w:iCs/>
          <w:kern w:val="0"/>
          <w:szCs w:val="22"/>
          <w:vertAlign w:val="superscript"/>
          <w:lang w:eastAsia="es-ES"/>
          <w14:ligatures w14:val="none"/>
        </w:rPr>
        <w:footnoteReference w:id="36"/>
      </w:r>
      <w:r w:rsidRPr="00673BC4">
        <w:rPr>
          <w:rFonts w:eastAsia="Times New Roman"/>
          <w:bCs/>
          <w:iCs/>
          <w:kern w:val="0"/>
          <w:szCs w:val="22"/>
          <w:lang w:eastAsia="es-ES"/>
          <w14:ligatures w14:val="none"/>
        </w:rPr>
        <w:t xml:space="preserve">. En el error invencible de prohibición, se considera que el sujeto —aun con la diligencia exigible— no podía conocer la ilicitud del hecho: la falta de conciencia de antijuridicidad excluye, pues, la responsabilidad penal. En el error vencible, en cambio, se entiende que ese desconocimiento era evitable con cierta diligencia razonable por parte del sujeto activo: de ahí que no se elimine la culpabilidad, pero sí se atenúe, lo que resulta en una rebaja de la pena en uno o dos grados. </w:t>
      </w:r>
    </w:p>
    <w:p w14:paraId="32AA1D0B" w14:textId="77777777" w:rsidR="00673BC4" w:rsidRPr="00673BC4" w:rsidRDefault="00673BC4" w:rsidP="00673BC4">
      <w:pPr>
        <w:spacing w:line="360" w:lineRule="auto"/>
        <w:ind w:firstLine="709"/>
        <w:jc w:val="both"/>
        <w:rPr>
          <w:rFonts w:eastAsia="Times New Roman"/>
          <w:bCs/>
          <w:iCs/>
          <w:kern w:val="0"/>
          <w:szCs w:val="22"/>
          <w:lang w:eastAsia="es-ES"/>
          <w14:ligatures w14:val="none"/>
        </w:rPr>
      </w:pPr>
      <w:r w:rsidRPr="00673BC4">
        <w:rPr>
          <w:rFonts w:eastAsia="Times New Roman"/>
          <w:bCs/>
          <w:iCs/>
          <w:kern w:val="0"/>
          <w:szCs w:val="22"/>
          <w:lang w:eastAsia="es-ES"/>
          <w14:ligatures w14:val="none"/>
        </w:rPr>
        <w:t>Se trata de un discurso que ha salido a relucir en varios de los procedimientos penales y que en algunos casos ha sido favorablemente acogido por los tribunales. En el caso de los progenitores radicados en Alcañiz, ambos trataron de que se les aplicara el error invencible como causa de exención de la responsabilidad penal. Sin embargo, la Audiencia Provincial de Teruel haría distingos entre la actuación de uno y otra.</w:t>
      </w:r>
      <w:r w:rsidRPr="00673BC4">
        <w:rPr>
          <w:rFonts w:eastAsia="Times New Roman"/>
          <w:bCs/>
          <w:kern w:val="0"/>
          <w:szCs w:val="22"/>
          <w:lang w:eastAsia="es-ES"/>
          <w14:ligatures w14:val="none"/>
        </w:rPr>
        <w:t xml:space="preserve"> En lo atinente al padre, se consideró que cabía</w:t>
      </w:r>
      <w:r w:rsidRPr="00673BC4">
        <w:rPr>
          <w:rFonts w:eastAsia="Times New Roman"/>
          <w:bCs/>
          <w:iCs/>
          <w:kern w:val="0"/>
          <w:szCs w:val="22"/>
          <w:lang w:eastAsia="es-ES"/>
          <w14:ligatures w14:val="none"/>
        </w:rPr>
        <w:t xml:space="preserve"> afirmar razonablemente que conocía, siquiera desde la esfera del profano, la ilicitud de la mutilación genital femenina como una conducta social y jurídicamente proscrita en España, país en el que residía desde hacía diez años al tiempo de los hechos), con un dominio del idioma e integración social en entornos ajenos a su nacionalidad. De todo ello se infería en él la conciencia de la antijuridicidad de la acción. </w:t>
      </w:r>
    </w:p>
    <w:p w14:paraId="4328FD72" w14:textId="77777777" w:rsidR="00673BC4" w:rsidRPr="00673BC4" w:rsidRDefault="00673BC4" w:rsidP="00673BC4">
      <w:pPr>
        <w:spacing w:line="360" w:lineRule="auto"/>
        <w:ind w:firstLine="709"/>
        <w:jc w:val="both"/>
        <w:rPr>
          <w:rFonts w:eastAsia="Times New Roman"/>
          <w:bCs/>
          <w:iCs/>
          <w:kern w:val="0"/>
          <w:szCs w:val="22"/>
          <w:lang w:eastAsia="es-ES"/>
          <w14:ligatures w14:val="none"/>
        </w:rPr>
      </w:pPr>
      <w:r w:rsidRPr="00673BC4">
        <w:rPr>
          <w:rFonts w:eastAsia="Times New Roman"/>
          <w:bCs/>
          <w:iCs/>
          <w:kern w:val="0"/>
          <w:szCs w:val="22"/>
          <w:lang w:eastAsia="es-ES"/>
          <w14:ligatures w14:val="none"/>
        </w:rPr>
        <w:t xml:space="preserve">Empero, el caso de la madre suscitaba más dudas, hasta el punto de que se apreciaron en ella razones suficientes para contemplar un error de prohibición, aunque vencible. Recién llegada a España en el momento de los hechos, sin dominio del castellano y socialmente integrada en un círculo cerrado de compatriotas, procedía de un entorno donde la mutilación genital femenina se asumía, en efecto, como práctica normal e incluso necesaria para la aceptación social de la mujer. Ello podía justificar que hubiera creído que su actuación era lícita o incluso que hubiera cedido a la presión ajena en relación con la ablación de su hija. Ahora bien, y siguiendo las pautas jurisprudenciales en lo que concierne a las condiciones culturales y psicológicas de la procesada y sus </w:t>
      </w:r>
      <w:r w:rsidRPr="00673BC4">
        <w:rPr>
          <w:rFonts w:eastAsia="Times New Roman"/>
          <w:bCs/>
          <w:iCs/>
          <w:kern w:val="0"/>
          <w:szCs w:val="22"/>
          <w:lang w:eastAsia="es-ES"/>
          <w14:ligatures w14:val="none"/>
        </w:rPr>
        <w:lastRenderedPageBreak/>
        <w:t>posibilidades reales de información y asesoramiento, se estimó que existían vías próximas de orientación, empezando por su entorno inmediato. Ello llevó a la Audiencia Provincial a considerar que el error había sido fácilmente vencible, de modo tal que se le aplicó el efecto atenuante propio de una eximente incompleta</w:t>
      </w:r>
      <w:r w:rsidRPr="00673BC4">
        <w:rPr>
          <w:rFonts w:eastAsia="Times New Roman"/>
          <w:bCs/>
          <w:iCs/>
          <w:kern w:val="0"/>
          <w:szCs w:val="22"/>
          <w:vertAlign w:val="superscript"/>
          <w:lang w:eastAsia="es-ES"/>
          <w14:ligatures w14:val="none"/>
        </w:rPr>
        <w:footnoteReference w:id="37"/>
      </w:r>
      <w:r w:rsidRPr="00673BC4">
        <w:rPr>
          <w:rFonts w:eastAsia="Times New Roman"/>
          <w:bCs/>
          <w:iCs/>
          <w:kern w:val="0"/>
          <w:szCs w:val="22"/>
          <w:lang w:eastAsia="es-ES"/>
          <w14:ligatures w14:val="none"/>
        </w:rPr>
        <w:t>.</w:t>
      </w:r>
    </w:p>
    <w:p w14:paraId="168FDF13" w14:textId="77777777" w:rsidR="00673BC4" w:rsidRPr="00673BC4" w:rsidRDefault="00673BC4" w:rsidP="00673BC4">
      <w:pPr>
        <w:spacing w:line="360" w:lineRule="auto"/>
        <w:ind w:firstLine="709"/>
        <w:jc w:val="both"/>
        <w:rPr>
          <w:rFonts w:eastAsia="Times New Roman"/>
          <w:bCs/>
          <w:kern w:val="0"/>
          <w:szCs w:val="22"/>
          <w:lang w:eastAsia="es-ES"/>
          <w14:ligatures w14:val="none"/>
        </w:rPr>
      </w:pPr>
      <w:r w:rsidRPr="00673BC4">
        <w:rPr>
          <w:rFonts w:eastAsia="Times New Roman"/>
          <w:bCs/>
          <w:iCs/>
          <w:kern w:val="0"/>
          <w:szCs w:val="22"/>
          <w:lang w:eastAsia="es-ES"/>
          <w14:ligatures w14:val="none"/>
        </w:rPr>
        <w:t>Muy próximo a este razonamiento del error vencible fue el de la Audiencia Nacional, que, en su ya mencionada sentencia de abril de 2013</w:t>
      </w:r>
      <w:r w:rsidRPr="00673BC4">
        <w:rPr>
          <w:rFonts w:eastAsia="Times New Roman"/>
          <w:bCs/>
          <w:iCs/>
          <w:kern w:val="0"/>
          <w:szCs w:val="22"/>
          <w:vertAlign w:val="superscript"/>
          <w:lang w:eastAsia="es-ES"/>
          <w14:ligatures w14:val="none"/>
        </w:rPr>
        <w:footnoteReference w:id="38"/>
      </w:r>
      <w:r w:rsidRPr="00673BC4">
        <w:rPr>
          <w:rFonts w:eastAsia="Times New Roman"/>
          <w:bCs/>
          <w:iCs/>
          <w:kern w:val="0"/>
          <w:szCs w:val="22"/>
          <w:lang w:eastAsia="es-ES"/>
          <w14:ligatures w14:val="none"/>
        </w:rPr>
        <w:t>, impuso una pena de dos años de prisión a la madre senegalesa por la ablación practicada a su hija en su país de origen. En el Centro de Atención Primaria Premiá de Mar habían advertido que a la víctima se la había extirpado el clítoris y que, como secuela, padecía una adherencia de labios menores que obturaba los orificios uretral externo y vaginal, lo que precisaría ulterior tratamiento quirúrgico. Se recabó el testimonio del personal sanitario que a la sazón había atendido a la niña y a su madre. Un enfermero declaró que, durante la exploración pediátrica, había informado a la madre de la mutilación de la niña y que la acusada había reaccionado con total normalidad y sin extrañeza. Conforme a lo indicado, se acabó declarando a la progenitora autora de un delito de lesiones en su modalidad de mutilación genital, si bien la pena quedó por debajo de lo solicitado por la acusación al apreciarse su ignorancia de la tipicidad de la conducta. En consecuencia, se le aplicó el error de prohibición, en tanto en cuanto no podía darse la misma respuesta penal a quien desconocía la ilicitud de su conducta. No obstante, se entendió —al igual que en el caso anterior— que el error había sido vencible y ello porque la acusada podía haberse informado al respecto, especialmente a través de su marido, quien, al tiempo de producirse los hechos, llevaba ya varios años viviendo en España.</w:t>
      </w:r>
    </w:p>
    <w:p w14:paraId="286D9B85" w14:textId="77777777" w:rsidR="00673BC4" w:rsidRPr="00673BC4" w:rsidRDefault="00673BC4" w:rsidP="00673BC4">
      <w:pPr>
        <w:spacing w:line="360" w:lineRule="auto"/>
        <w:ind w:firstLine="709"/>
        <w:jc w:val="both"/>
        <w:rPr>
          <w:rFonts w:eastAsia="Times New Roman"/>
          <w:bCs/>
          <w:iCs/>
          <w:kern w:val="0"/>
          <w:szCs w:val="22"/>
          <w:lang w:eastAsia="es-ES"/>
          <w14:ligatures w14:val="none"/>
        </w:rPr>
      </w:pPr>
      <w:r w:rsidRPr="00673BC4">
        <w:rPr>
          <w:rFonts w:eastAsia="Times New Roman"/>
          <w:bCs/>
          <w:iCs/>
          <w:kern w:val="0"/>
          <w:szCs w:val="22"/>
          <w:lang w:eastAsia="es-ES"/>
          <w14:ligatures w14:val="none"/>
        </w:rPr>
        <w:t xml:space="preserve">La acusada recurrió entonces en casación y, a diferencia del caso de Teruel, el Tribunal Supremo sí admitió su versión de los hechos, lo cual llevó a su absolución por error invencible, si bien con el voto particular en contra de uno de los miembros del Tribunal. Veámoslo detenidamente: Entre los motivos alegados por la recurrente, se hallaba la infracción de ley </w:t>
      </w:r>
      <w:r w:rsidRPr="00673BC4">
        <w:rPr>
          <w:rFonts w:eastAsia="Times New Roman"/>
          <w:bCs/>
          <w:i/>
          <w:iCs/>
          <w:kern w:val="0"/>
          <w:szCs w:val="22"/>
          <w:lang w:eastAsia="es-ES"/>
          <w14:ligatures w14:val="none"/>
        </w:rPr>
        <w:t>ex</w:t>
      </w:r>
      <w:r w:rsidRPr="00673BC4">
        <w:rPr>
          <w:rFonts w:eastAsia="Times New Roman"/>
          <w:bCs/>
          <w:iCs/>
          <w:kern w:val="0"/>
          <w:szCs w:val="22"/>
          <w:lang w:eastAsia="es-ES"/>
          <w14:ligatures w14:val="none"/>
        </w:rPr>
        <w:t xml:space="preserve"> art. 849.1.º LECrim</w:t>
      </w:r>
      <w:r w:rsidRPr="00673BC4">
        <w:rPr>
          <w:rFonts w:eastAsia="Times New Roman"/>
          <w:bCs/>
          <w:iCs/>
          <w:kern w:val="0"/>
          <w:szCs w:val="22"/>
          <w:vertAlign w:val="superscript"/>
          <w:lang w:eastAsia="es-ES"/>
          <w14:ligatures w14:val="none"/>
        </w:rPr>
        <w:footnoteReference w:id="39"/>
      </w:r>
      <w:r w:rsidRPr="00673BC4">
        <w:rPr>
          <w:rFonts w:eastAsia="Times New Roman"/>
          <w:bCs/>
          <w:iCs/>
          <w:kern w:val="0"/>
          <w:szCs w:val="22"/>
          <w:lang w:eastAsia="es-ES"/>
          <w14:ligatures w14:val="none"/>
        </w:rPr>
        <w:t xml:space="preserve">, habida cuenta de la inaplicación del </w:t>
      </w:r>
      <w:r w:rsidRPr="00673BC4">
        <w:rPr>
          <w:rFonts w:eastAsia="Times New Roman"/>
          <w:bCs/>
          <w:iCs/>
          <w:kern w:val="0"/>
          <w:szCs w:val="22"/>
          <w:lang w:eastAsia="es-ES"/>
          <w14:ligatures w14:val="none"/>
        </w:rPr>
        <w:lastRenderedPageBreak/>
        <w:t>art. 14.3 CP, esto es, del error de prohibición invencible. Pues bien, con independencia de otras particularidades del caso, lo cierto es que el Tribunal Supremo, acogiendo el razonamiento de la acusada en lo que respecta a la naturaleza del error, entendió que la Sección Cuarta de la Audiencia Nacional había errado. La progenitora había argüido que, aun cuando la Audiencia había calificado como vencible el error en que había incurrido, no explicó de qué modo, pese a las limitaciones en que se encontraba, aquel error habría podido superarse con la diligencia objetiva y subjetivamente exigible. De ahí que el Tribunal Supremo entendiera que no había quedado ni razonado ni acreditado que la procesada hubiera tenido, en su caso, acceso a un medio o sistema de información capaz de disipar su error, habida cuenta del entorno en que había vivido. En ningún caso procedía imputarle responsabilidad por el eventual silencio de su marido —residente en España desde hacía años— sobre el carácter delictivo de la mutilación. De hecho, y de existir tal omisión, la responsabilidad no habría recaído en ella, sino en él, quien estaba sujeto a las mismas obligaciones de la patria potestad. No obstante, el progenitor había sido absuelto en la misma causa por sentencia de la Audiencia Nacional</w:t>
      </w:r>
      <w:r w:rsidRPr="00673BC4">
        <w:rPr>
          <w:rFonts w:eastAsia="Times New Roman"/>
          <w:bCs/>
          <w:iCs/>
          <w:kern w:val="0"/>
          <w:szCs w:val="22"/>
          <w:vertAlign w:val="superscript"/>
          <w:lang w:eastAsia="es-ES"/>
          <w14:ligatures w14:val="none"/>
        </w:rPr>
        <w:footnoteReference w:id="40"/>
      </w:r>
      <w:r w:rsidRPr="00673BC4">
        <w:rPr>
          <w:rFonts w:eastAsia="Times New Roman"/>
          <w:bCs/>
          <w:iCs/>
          <w:kern w:val="0"/>
          <w:szCs w:val="22"/>
          <w:lang w:eastAsia="es-ES"/>
          <w14:ligatures w14:val="none"/>
        </w:rPr>
        <w:t>. Ergo, la acusada no había dispuesto de medios suficientes para informarse de la ilicitud de la ablación del clítoris. Ello llevó al Tribunal Supremo a acoger favorablemente este motivo del recurso, aunque se reputara innecesario, en tanto en cuanto se la había absuelto por el principio de la presunción de inocencia</w:t>
      </w:r>
      <w:r w:rsidRPr="00673BC4">
        <w:rPr>
          <w:rFonts w:eastAsia="Times New Roman"/>
          <w:bCs/>
          <w:iCs/>
          <w:kern w:val="0"/>
          <w:szCs w:val="22"/>
          <w:vertAlign w:val="superscript"/>
          <w:lang w:eastAsia="es-ES"/>
          <w14:ligatures w14:val="none"/>
        </w:rPr>
        <w:footnoteReference w:id="41"/>
      </w:r>
      <w:r w:rsidRPr="00673BC4">
        <w:rPr>
          <w:rFonts w:eastAsia="Times New Roman"/>
          <w:bCs/>
          <w:iCs/>
          <w:kern w:val="0"/>
          <w:szCs w:val="22"/>
          <w:lang w:eastAsia="es-ES"/>
          <w14:ligatures w14:val="none"/>
        </w:rPr>
        <w:t xml:space="preserve">. </w:t>
      </w:r>
    </w:p>
    <w:p w14:paraId="73E2B087" w14:textId="0FF3F8F6" w:rsidR="00937BED" w:rsidRDefault="00673BC4" w:rsidP="00673BC4">
      <w:pPr>
        <w:spacing w:line="360" w:lineRule="auto"/>
        <w:ind w:firstLine="709"/>
        <w:jc w:val="both"/>
        <w:rPr>
          <w:rFonts w:eastAsia="Times New Roman"/>
          <w:bCs/>
          <w:kern w:val="0"/>
          <w:szCs w:val="22"/>
          <w:lang w:eastAsia="es-ES"/>
          <w14:ligatures w14:val="none"/>
        </w:rPr>
      </w:pPr>
      <w:r w:rsidRPr="00673BC4">
        <w:rPr>
          <w:rFonts w:eastAsia="Times New Roman"/>
          <w:bCs/>
          <w:iCs/>
          <w:kern w:val="0"/>
          <w:szCs w:val="22"/>
          <w:lang w:eastAsia="es-ES"/>
          <w14:ligatures w14:val="none"/>
        </w:rPr>
        <w:t xml:space="preserve">El magistrado Manuel Marchena discrepó, empero, de que se hubiera acogido el argumento del error invencible, en tanto en cuanto su admisión carecía de base. Sobre este particular, recordó que Senegal, a través de la ratificación de diversos instrumentos internacionales, como la Convención de Derechos del Niño (1990), la Carta Africana de Derechos Humanos y el Protocolo de Maputo a la Carta Africana de Derechos Humanos y de los Pueblos Relativo a los Derechos de la Mujer en África (2003), había asumido la obligación de prohibir y erradicar tal práctica mediante acciones coordinadas de sensibilización pública, legislación sancionadora, apoyo integral a las víctimas y protección de mujeres en riesgo. De ahí que considerara que la carencia de cauces </w:t>
      </w:r>
      <w:r w:rsidRPr="00673BC4">
        <w:rPr>
          <w:rFonts w:eastAsia="Times New Roman"/>
          <w:bCs/>
          <w:iCs/>
          <w:kern w:val="0"/>
          <w:szCs w:val="22"/>
          <w:lang w:eastAsia="es-ES"/>
          <w14:ligatures w14:val="none"/>
        </w:rPr>
        <w:lastRenderedPageBreak/>
        <w:t>informativos idóneos para disipar el error invencible alegada por la acusada no estaba en absoluto justificada</w:t>
      </w:r>
      <w:r w:rsidR="00937BED" w:rsidRPr="00937BED">
        <w:rPr>
          <w:rFonts w:eastAsia="Times New Roman"/>
          <w:bCs/>
          <w:kern w:val="0"/>
          <w:szCs w:val="22"/>
          <w:lang w:eastAsia="es-ES"/>
          <w14:ligatures w14:val="none"/>
        </w:rPr>
        <w:t>.</w:t>
      </w:r>
    </w:p>
    <w:p w14:paraId="46E440CD" w14:textId="001E0689" w:rsidR="00214E34" w:rsidRDefault="00673BC4" w:rsidP="00214E34">
      <w:pPr>
        <w:spacing w:before="120" w:line="360" w:lineRule="auto"/>
        <w:ind w:left="709"/>
        <w:jc w:val="both"/>
        <w:rPr>
          <w:rFonts w:eastAsia="Times New Roman"/>
          <w:bCs/>
          <w:i/>
          <w:iCs/>
          <w:kern w:val="0"/>
          <w:szCs w:val="22"/>
          <w:lang w:eastAsia="es-ES"/>
          <w14:ligatures w14:val="none"/>
        </w:rPr>
      </w:pPr>
      <w:r>
        <w:rPr>
          <w:rFonts w:eastAsia="Times New Roman"/>
          <w:bCs/>
          <w:i/>
          <w:iCs/>
          <w:kern w:val="0"/>
          <w:szCs w:val="22"/>
          <w:lang w:eastAsia="es-ES"/>
          <w14:ligatures w14:val="none"/>
        </w:rPr>
        <w:t>3</w:t>
      </w:r>
      <w:r w:rsidR="00214E34" w:rsidRPr="00A22CDF">
        <w:rPr>
          <w:rFonts w:eastAsia="Times New Roman"/>
          <w:bCs/>
          <w:i/>
          <w:iCs/>
          <w:kern w:val="0"/>
          <w:szCs w:val="22"/>
          <w:lang w:eastAsia="es-ES"/>
          <w14:ligatures w14:val="none"/>
        </w:rPr>
        <w:t>.</w:t>
      </w:r>
      <w:r>
        <w:rPr>
          <w:rFonts w:eastAsia="Times New Roman"/>
          <w:bCs/>
          <w:i/>
          <w:iCs/>
          <w:kern w:val="0"/>
          <w:szCs w:val="22"/>
          <w:lang w:eastAsia="es-ES"/>
          <w14:ligatures w14:val="none"/>
        </w:rPr>
        <w:t>5</w:t>
      </w:r>
      <w:r w:rsidR="00214E34" w:rsidRPr="00A22CDF">
        <w:rPr>
          <w:rFonts w:eastAsia="Times New Roman"/>
          <w:bCs/>
          <w:i/>
          <w:iCs/>
          <w:kern w:val="0"/>
          <w:szCs w:val="22"/>
          <w:lang w:eastAsia="es-ES"/>
          <w14:ligatures w14:val="none"/>
        </w:rPr>
        <w:t xml:space="preserve">. </w:t>
      </w:r>
      <w:r w:rsidRPr="00673BC4">
        <w:rPr>
          <w:rFonts w:eastAsia="Times New Roman"/>
          <w:bCs/>
          <w:i/>
          <w:iCs/>
          <w:kern w:val="0"/>
          <w:szCs w:val="22"/>
          <w:lang w:eastAsia="es-ES"/>
          <w14:ligatures w14:val="none"/>
        </w:rPr>
        <w:t>La posición de garante y la comisión por omisión</w:t>
      </w:r>
    </w:p>
    <w:p w14:paraId="548A7F37" w14:textId="77777777" w:rsidR="00673BC4" w:rsidRPr="00673BC4" w:rsidRDefault="00673BC4" w:rsidP="00673BC4">
      <w:pPr>
        <w:spacing w:before="120" w:line="360" w:lineRule="auto"/>
        <w:ind w:firstLine="709"/>
        <w:jc w:val="both"/>
        <w:rPr>
          <w:bCs/>
          <w:iCs/>
        </w:rPr>
      </w:pPr>
      <w:r w:rsidRPr="00673BC4">
        <w:rPr>
          <w:bCs/>
          <w:iCs/>
        </w:rPr>
        <w:t>Pasamos aquí a una de las causas de exculpación que, junto a la del error, ha gozado —jurisprudencialmente hablando— de un mayor protagonismo. Se trata de la alegación en virtud de la cual el procesado afirma que la decisión de mutilar a la víctima no fue suya, sino de un tercero —generalmente se señala a alguna de sus abuelas—, sin intervención alguna por su parte e incluso sin conocimiento siquiera de tal decisión. Con ello se trata de contrarrestar el argumento inculpatorio de la comisión por omisión del art. 11 CP y, por ende, de lo que se conoce como la posición de garante del acusado</w:t>
      </w:r>
      <w:r w:rsidRPr="00673BC4">
        <w:rPr>
          <w:bCs/>
          <w:iCs/>
          <w:vertAlign w:val="superscript"/>
        </w:rPr>
        <w:footnoteReference w:id="42"/>
      </w:r>
      <w:r w:rsidRPr="00673BC4">
        <w:rPr>
          <w:bCs/>
          <w:iCs/>
        </w:rPr>
        <w:t>.</w:t>
      </w:r>
    </w:p>
    <w:p w14:paraId="603F3712" w14:textId="77777777" w:rsidR="00673BC4" w:rsidRPr="00673BC4" w:rsidRDefault="00673BC4" w:rsidP="00673BC4">
      <w:pPr>
        <w:spacing w:line="360" w:lineRule="auto"/>
        <w:ind w:firstLine="709"/>
        <w:jc w:val="both"/>
        <w:rPr>
          <w:bCs/>
          <w:iCs/>
        </w:rPr>
      </w:pPr>
      <w:r w:rsidRPr="00673BC4">
        <w:rPr>
          <w:bCs/>
          <w:iCs/>
        </w:rPr>
        <w:t>La teoría de la comisión por omisión fue precisamente otro de los fundamentos del voto particular que, como acabamos de ver, opuso Manuel Marchena frente a la STS 939/2013</w:t>
      </w:r>
      <w:r w:rsidRPr="00673BC4">
        <w:rPr>
          <w:bCs/>
          <w:iCs/>
          <w:vertAlign w:val="superscript"/>
        </w:rPr>
        <w:footnoteReference w:id="43"/>
      </w:r>
      <w:r w:rsidRPr="00673BC4">
        <w:rPr>
          <w:bCs/>
          <w:iCs/>
        </w:rPr>
        <w:t>. Esta tesis señala que los progenitores, en cuanto detentadores de la patria potestad y de la guarda y custodia de las víctimas, tienen una específica obligación legal que les hace responsables de la salud e integridad física y psíquica de sus hijas. De ahí que el consentimiento o la pasividad ante la lesión equivalga a su realización. Y de ahí, pues, que resulte indiferente que los progenitores acusados hayan sido autores directos de la ablación o bien terceras personas con la aquiescencia o el permiso de aquéllos. La exposición de la niña al peligro cierto y probable de la ablación, la omisión de protección debida, esa conducta omisiva de permisibilidad implica la comisión del delito: se habla así de una comisión por omisión.</w:t>
      </w:r>
    </w:p>
    <w:p w14:paraId="7430A26D" w14:textId="77777777" w:rsidR="00673BC4" w:rsidRPr="00673BC4" w:rsidRDefault="00673BC4" w:rsidP="00673BC4">
      <w:pPr>
        <w:spacing w:line="360" w:lineRule="auto"/>
        <w:ind w:firstLine="709"/>
        <w:jc w:val="both"/>
        <w:rPr>
          <w:bCs/>
          <w:iCs/>
        </w:rPr>
      </w:pPr>
      <w:r w:rsidRPr="00673BC4">
        <w:rPr>
          <w:bCs/>
          <w:iCs/>
        </w:rPr>
        <w:t>Este fue el sentido de resoluciones como la dictada por la Audiencia Provincial de Barcelona y posteriormente confirmada por el Tribunal Supremo, en la que se condenó a seis años de prisión a cada uno a los padres de dos niñas de origen gambiano por sendos delitos de mutilación genital femenina</w:t>
      </w:r>
      <w:r w:rsidRPr="00673BC4">
        <w:rPr>
          <w:bCs/>
          <w:iCs/>
          <w:vertAlign w:val="superscript"/>
        </w:rPr>
        <w:footnoteReference w:id="44"/>
      </w:r>
      <w:r w:rsidRPr="00673BC4">
        <w:rPr>
          <w:bCs/>
          <w:iCs/>
        </w:rPr>
        <w:t xml:space="preserve">. Se consideró en este caso que ambos </w:t>
      </w:r>
      <w:r w:rsidRPr="00673BC4">
        <w:rPr>
          <w:bCs/>
          <w:iCs/>
        </w:rPr>
        <w:lastRenderedPageBreak/>
        <w:t>progenitores ostentaban una específica y consustancial posición de garantes con respecto a sus hijas menores de edad, lo cual implicó su autoría con base en la omisión de sus funciones parentales. De ahí que se dejara sentada su autoría “</w:t>
      </w:r>
      <w:r w:rsidRPr="00673BC4">
        <w:rPr>
          <w:i/>
        </w:rPr>
        <w:t>ya lo fueren a título de autores materiales directos, ora como autores indirectos eficaces de las lesiones</w:t>
      </w:r>
      <w:r w:rsidRPr="00673BC4">
        <w:t>”. Dejábase así abierta la posibilidad —en el caso de tal autoría indirecta— a la concurrencia de una omisión del art. 11 CP, “</w:t>
      </w:r>
      <w:r w:rsidRPr="00673BC4">
        <w:rPr>
          <w:i/>
        </w:rPr>
        <w:t>al exponer a sus hijas al inevitable peligro de que les fuera practicada la aberrante y deleznable lesión genital</w:t>
      </w:r>
      <w:r w:rsidRPr="00673BC4">
        <w:t xml:space="preserve">”. </w:t>
      </w:r>
    </w:p>
    <w:p w14:paraId="08D4173A" w14:textId="77777777" w:rsidR="00673BC4" w:rsidRPr="00673BC4" w:rsidRDefault="00673BC4" w:rsidP="00673BC4">
      <w:pPr>
        <w:spacing w:line="360" w:lineRule="auto"/>
        <w:ind w:firstLine="709"/>
        <w:jc w:val="both"/>
        <w:rPr>
          <w:bCs/>
          <w:iCs/>
        </w:rPr>
      </w:pPr>
      <w:r w:rsidRPr="00673BC4">
        <w:rPr>
          <w:bCs/>
          <w:iCs/>
        </w:rPr>
        <w:t>Frente a este razonamiento, han sido varios los progenitores acusados que se han defendido so capa no sólo de una hipotética falta de participación en la ablación, sino también de su absoluta ignorancia al respecto. De este modo afirman que, imposibilitados de cuidar a su hija por causas laborales —impelidos, por ejemplo, a dedicarse a duras tareas agrícolas— se veían obligados a dejarla al cuidado de un familiar —alguna de las abuelas—, que fue quien practicó la mutilación sin previo aviso y sin requerir consentimiento alguno. Teniendo en cuenta que los procesos se han desarrollado en España, que tales abuelas permanecen en sus lugares de origen, a cientos kilómetros y que, por tanto, no han siquiera comparecido como testigos o acusadas, los tribunales han acabado en ocasiones dando validez al motivo exculpatorio.</w:t>
      </w:r>
    </w:p>
    <w:p w14:paraId="4B8BC7A3" w14:textId="77777777" w:rsidR="00673BC4" w:rsidRPr="00673BC4" w:rsidRDefault="00673BC4" w:rsidP="00673BC4">
      <w:pPr>
        <w:spacing w:line="360" w:lineRule="auto"/>
        <w:ind w:firstLine="709"/>
        <w:jc w:val="both"/>
        <w:rPr>
          <w:bCs/>
          <w:iCs/>
        </w:rPr>
      </w:pPr>
      <w:r w:rsidRPr="00673BC4">
        <w:rPr>
          <w:bCs/>
          <w:iCs/>
        </w:rPr>
        <w:t>En esta línea, resulta muy interesante la trayectoria del caso judicial de una madre, originaria de Malí y establecida en la provincia de Lugo, que fue condenada por la Audiencia Nacional como autora de un delito de mutilación genital de su hija</w:t>
      </w:r>
      <w:r w:rsidRPr="00673BC4">
        <w:rPr>
          <w:bCs/>
          <w:iCs/>
          <w:vertAlign w:val="superscript"/>
        </w:rPr>
        <w:footnoteReference w:id="45"/>
      </w:r>
      <w:r w:rsidRPr="00673BC4">
        <w:rPr>
          <w:bCs/>
          <w:iCs/>
        </w:rPr>
        <w:t>. La acusada había manifestado en su primera declaración que la ablación había sido realizada por orden de la madre de su marido, que ya no estaba viva; que había sido, pues, su suegra quien había ordenado que había que mutilar a la niña; y que fue la propia la suegra quien había llevado a su nieta a la consulta de un doctor, el cual practicó la ablación. A tal efecto, el Ministerio Fiscal invocó precisamente el meritado art.11 CP, para dejar sentado que la producción de un resultado delictivo se entiende cometida por omisión cuando la no evitación del mismo, al infringir un especial deber jurídico del autor, equivale a su causación.</w:t>
      </w:r>
      <w:r w:rsidRPr="00673BC4">
        <w:t xml:space="preserve"> Se entendió, pues, </w:t>
      </w:r>
      <w:r w:rsidRPr="00673BC4">
        <w:rPr>
          <w:bCs/>
          <w:iCs/>
        </w:rPr>
        <w:t xml:space="preserve">que la acusada había incumplido su posición de garante de la integridad física de su hija —menor y sin capacidad de autoprotección— y, lejos de evitarlo, lo favoreció o, cuando menos, lo consintió, permitiendo que se la sometiera a la </w:t>
      </w:r>
      <w:r w:rsidRPr="00673BC4">
        <w:rPr>
          <w:bCs/>
          <w:iCs/>
        </w:rPr>
        <w:lastRenderedPageBreak/>
        <w:t>mutilación. Ello condujo a que se condenara a dicha madre a la pena de seis años de prisión en concepto de autora de un delito del art. 149.2 CP sin la concurrencia de circunstancias modificativas de la responsabilidad criminal.</w:t>
      </w:r>
    </w:p>
    <w:p w14:paraId="4C76A190" w14:textId="77777777" w:rsidR="00673BC4" w:rsidRPr="00673BC4" w:rsidRDefault="00673BC4" w:rsidP="00673BC4">
      <w:pPr>
        <w:spacing w:line="360" w:lineRule="auto"/>
        <w:ind w:firstLine="709"/>
        <w:jc w:val="both"/>
        <w:rPr>
          <w:bCs/>
          <w:iCs/>
        </w:rPr>
      </w:pPr>
      <w:r w:rsidRPr="00673BC4">
        <w:rPr>
          <w:bCs/>
          <w:iCs/>
        </w:rPr>
        <w:t xml:space="preserve">Empero, uno de los miembros del Tribunal, la magistrada Ana María Rubio, discrepó del fallo y emitió un voto particular contrario a la apreciación de una comisión por omisión por parte de la madre condenada. Según esta magistrada, y habida cuenta de las circunstancias en que habían ocurrido los hechos, la progenitora carecía de medios efectivos para impedir que la abuela paterna —o los familiares paternos con capacidad decisoria— sometieran a la víctima a una mutilación genital, ni tampoco disponía de información para conocer la ilicitud de esa práctica en Malí. En el juicio, la condenada había explicado que, cuando se produjo la mutilación, la niña vivía en la casa familiar, donde las decisiones las adoptaban el padre o los padres del marido; que ella misma, como progenitora de la niña, carecía de poder de decisión; y que, además, se enteró después de que se hubiera practicado. A mayor abundamiento, había puntualizado que a la sazón desconocía que la mutilación genital femenina estuviera prohibida en Malí; y que, en cualquier caso, de haber sabido que iban a llevarse a su hija para ello, no lo habría consentido. Por estas razones, la magistrada discrepante entendió que no procedía responsabilizar a la acusada por el mero hecho de ser madre o por haber ejercido formalmente la guarda de la niña, pues era evidente que no había ejercido dicha custodia de modo efectivo. Faltaba, pues, la posición de autora por omisión del art. 11 CP. </w:t>
      </w:r>
    </w:p>
    <w:p w14:paraId="7E20F9FC" w14:textId="77777777" w:rsidR="00673BC4" w:rsidRPr="00673BC4" w:rsidRDefault="00673BC4" w:rsidP="00673BC4">
      <w:pPr>
        <w:spacing w:line="360" w:lineRule="auto"/>
        <w:ind w:firstLine="709"/>
        <w:jc w:val="both"/>
        <w:rPr>
          <w:bCs/>
          <w:iCs/>
        </w:rPr>
      </w:pPr>
      <w:r w:rsidRPr="00673BC4">
        <w:rPr>
          <w:bCs/>
          <w:iCs/>
        </w:rPr>
        <w:t>La sentencia condenatoria fue entonces recurrida ante la Sala de Apelación de la Audiencia Nacional, la cual, en una nueva vuelta de tuerca, acabó absolviendo a la progenitora inspirándose a su vez en el iter decisorio de jurisprudencia del Tribunal Supremo</w:t>
      </w:r>
      <w:r w:rsidRPr="00673BC4">
        <w:rPr>
          <w:bCs/>
          <w:iCs/>
          <w:vertAlign w:val="superscript"/>
        </w:rPr>
        <w:footnoteReference w:id="46"/>
      </w:r>
      <w:r w:rsidRPr="00673BC4">
        <w:rPr>
          <w:bCs/>
          <w:iCs/>
        </w:rPr>
        <w:t xml:space="preserve">. Se partió de la premisa de que no había quedado acreditado que la madre conociera, con anterioridad a los hechos, la intención de los familiares de practicar a la menor la lesión. Tampoco se había demostrado que hubiera podido evitarlas. No se había evidenciado la omisión consciente equivalente a la acción prohibida. No constaba facilitación del delito, ni conocimiento ni consentimiento por de la madre procesada, de </w:t>
      </w:r>
      <w:r w:rsidRPr="00673BC4">
        <w:rPr>
          <w:bCs/>
          <w:iCs/>
        </w:rPr>
        <w:lastRenderedPageBreak/>
        <w:t>suerte que no cabía imputársele dominio del hecho ni posición de garante eficaz. Ello condujo finalmente a su absolución.</w:t>
      </w:r>
    </w:p>
    <w:p w14:paraId="1B8665CD" w14:textId="52232F3C" w:rsidR="00214E34" w:rsidRPr="00004189" w:rsidRDefault="00673BC4" w:rsidP="00673BC4">
      <w:pPr>
        <w:spacing w:line="360" w:lineRule="auto"/>
        <w:ind w:firstLine="709"/>
        <w:jc w:val="both"/>
      </w:pPr>
      <w:r w:rsidRPr="00673BC4">
        <w:rPr>
          <w:bCs/>
          <w:iCs/>
        </w:rPr>
        <w:t>Permítasenos citar por último en este mismo sentido otra resolución reciente, de dos padres senegaleses radicados en Cataluña de una menor en la que, al ser reconocida en el Hospital de Terrassa, la pediatra y la ginecóloga constataron una mutilación genital. La defensa arguyó que los acusados no eran penalmente responsables. Alegaron que residían en España desde septiembre de 2016 y que la niña no había llegado a España hasta enero de 2021, lo cual, junto con el informe forense que describía una cicatriz antigua de aproximadamente dos años y las declaraciones policiales y del equipo de infancia, validaba la versión de que la mutilación se hubiera practicado en Senegal por la abuela paterna, al margen del conocimiento y consentimiento de los progenitores. Por ello se les absolvió para lo que se trajo de nuevo a colación las resoluciones citadas más arriba</w:t>
      </w:r>
      <w:r w:rsidRPr="00673BC4">
        <w:rPr>
          <w:bCs/>
          <w:iCs/>
          <w:vertAlign w:val="superscript"/>
        </w:rPr>
        <w:footnoteReference w:id="47"/>
      </w:r>
      <w:r w:rsidRPr="00673BC4">
        <w:rPr>
          <w:bCs/>
          <w:iCs/>
        </w:rPr>
        <w:t>.</w:t>
      </w:r>
      <w:r w:rsidR="00214E34" w:rsidRPr="00004189">
        <w:t xml:space="preserve"> </w:t>
      </w:r>
    </w:p>
    <w:p w14:paraId="44627E23" w14:textId="63913B60" w:rsidR="00673BC4" w:rsidRDefault="00673BC4" w:rsidP="00673BC4">
      <w:pPr>
        <w:spacing w:before="120" w:line="360" w:lineRule="auto"/>
        <w:ind w:left="709"/>
        <w:jc w:val="both"/>
        <w:rPr>
          <w:rFonts w:eastAsia="Times New Roman"/>
          <w:bCs/>
          <w:i/>
          <w:iCs/>
          <w:kern w:val="0"/>
          <w:szCs w:val="22"/>
          <w:lang w:eastAsia="es-ES"/>
          <w14:ligatures w14:val="none"/>
        </w:rPr>
      </w:pPr>
      <w:r>
        <w:rPr>
          <w:rFonts w:eastAsia="Times New Roman"/>
          <w:bCs/>
          <w:i/>
          <w:iCs/>
          <w:kern w:val="0"/>
          <w:szCs w:val="22"/>
          <w:lang w:eastAsia="es-ES"/>
          <w14:ligatures w14:val="none"/>
        </w:rPr>
        <w:t>3</w:t>
      </w:r>
      <w:r w:rsidRPr="00A22CDF">
        <w:rPr>
          <w:rFonts w:eastAsia="Times New Roman"/>
          <w:bCs/>
          <w:i/>
          <w:iCs/>
          <w:kern w:val="0"/>
          <w:szCs w:val="22"/>
          <w:lang w:eastAsia="es-ES"/>
          <w14:ligatures w14:val="none"/>
        </w:rPr>
        <w:t>.</w:t>
      </w:r>
      <w:r>
        <w:rPr>
          <w:rFonts w:eastAsia="Times New Roman"/>
          <w:bCs/>
          <w:i/>
          <w:iCs/>
          <w:kern w:val="0"/>
          <w:szCs w:val="22"/>
          <w:lang w:eastAsia="es-ES"/>
          <w14:ligatures w14:val="none"/>
        </w:rPr>
        <w:t>6</w:t>
      </w:r>
      <w:r w:rsidRPr="00A22CDF">
        <w:rPr>
          <w:rFonts w:eastAsia="Times New Roman"/>
          <w:bCs/>
          <w:i/>
          <w:iCs/>
          <w:kern w:val="0"/>
          <w:szCs w:val="22"/>
          <w:lang w:eastAsia="es-ES"/>
          <w14:ligatures w14:val="none"/>
        </w:rPr>
        <w:t xml:space="preserve">. </w:t>
      </w:r>
      <w:r w:rsidRPr="00673BC4">
        <w:rPr>
          <w:rFonts w:eastAsia="Times New Roman"/>
          <w:bCs/>
          <w:i/>
          <w:iCs/>
          <w:kern w:val="0"/>
          <w:szCs w:val="22"/>
          <w:lang w:eastAsia="es-ES"/>
          <w14:ligatures w14:val="none"/>
        </w:rPr>
        <w:t>El derecho a la intimidad y la teoría de los frutos del árbol envenenado</w:t>
      </w:r>
    </w:p>
    <w:p w14:paraId="71147536" w14:textId="77777777" w:rsidR="00673BC4" w:rsidRPr="00673BC4" w:rsidRDefault="00673BC4" w:rsidP="00482BD7">
      <w:pPr>
        <w:spacing w:before="120" w:line="360" w:lineRule="auto"/>
        <w:ind w:firstLine="709"/>
        <w:jc w:val="both"/>
        <w:rPr>
          <w:rFonts w:eastAsia="Times New Roman"/>
          <w:bCs/>
          <w:kern w:val="0"/>
          <w:szCs w:val="22"/>
          <w:lang w:eastAsia="es-ES"/>
          <w14:ligatures w14:val="none"/>
        </w:rPr>
      </w:pPr>
      <w:r w:rsidRPr="00673BC4">
        <w:rPr>
          <w:rFonts w:eastAsia="Times New Roman"/>
          <w:bCs/>
          <w:kern w:val="0"/>
          <w:szCs w:val="22"/>
          <w:lang w:eastAsia="es-ES"/>
          <w14:ligatures w14:val="none"/>
        </w:rPr>
        <w:t>Este razonamiento salió a relucir, si bien con escaso éxito, en un procedimiento que tuvo lugar ante la Audiencia Provincial de Tarragona y cuyo objeto era invalidar el informe pediátrico, principal prueba de las acusaciones</w:t>
      </w:r>
      <w:r w:rsidRPr="00673BC4">
        <w:rPr>
          <w:rFonts w:eastAsia="Times New Roman"/>
          <w:bCs/>
          <w:kern w:val="0"/>
          <w:szCs w:val="22"/>
          <w:vertAlign w:val="superscript"/>
          <w:lang w:eastAsia="es-ES"/>
          <w14:ligatures w14:val="none"/>
        </w:rPr>
        <w:footnoteReference w:id="48"/>
      </w:r>
      <w:r w:rsidRPr="00673BC4">
        <w:rPr>
          <w:rFonts w:eastAsia="Times New Roman"/>
          <w:bCs/>
          <w:kern w:val="0"/>
          <w:szCs w:val="22"/>
          <w:lang w:eastAsia="es-ES"/>
          <w14:ligatures w14:val="none"/>
        </w:rPr>
        <w:t xml:space="preserve">. En este caso, y ante la manifestación de los padres de la menor de viajar a Gambia, su país de origen, se había activado el protocolo de prevención de la ablación genital. Ello había llevado a la pediatra del Equipo de Atención Primaria a practicar la exploración de la niña, exploración que evidenció que había sufrido una mutilación genital consistente en la ausencia total de labios menores y parcial del clítoris. </w:t>
      </w:r>
    </w:p>
    <w:p w14:paraId="38E18856" w14:textId="77777777" w:rsidR="00673BC4" w:rsidRPr="00673BC4" w:rsidRDefault="00673BC4" w:rsidP="00482BD7">
      <w:pPr>
        <w:spacing w:line="360" w:lineRule="auto"/>
        <w:ind w:firstLine="709"/>
        <w:jc w:val="both"/>
        <w:rPr>
          <w:rFonts w:eastAsia="Times New Roman"/>
          <w:bCs/>
          <w:kern w:val="0"/>
          <w:szCs w:val="22"/>
          <w:lang w:eastAsia="es-ES"/>
          <w14:ligatures w14:val="none"/>
        </w:rPr>
      </w:pPr>
      <w:r w:rsidRPr="00673BC4">
        <w:rPr>
          <w:rFonts w:eastAsia="Times New Roman"/>
          <w:bCs/>
          <w:kern w:val="0"/>
          <w:szCs w:val="22"/>
          <w:lang w:eastAsia="es-ES"/>
          <w14:ligatures w14:val="none"/>
        </w:rPr>
        <w:t xml:space="preserve">Frente a ello, la defensa de la madre de la menor suscitó como cuestión previa la expulsión del procedimiento de tal prueba, así como todas las restantes que de ella traían causa. A tal efecto, se adujo la conocida doctrina del fruto de árbol envenenado, y más concretamente la vulneración del derecho a la intimidad personal y familiar </w:t>
      </w:r>
      <w:r w:rsidRPr="00673BC4">
        <w:rPr>
          <w:rFonts w:eastAsia="Times New Roman"/>
          <w:bCs/>
          <w:i/>
          <w:kern w:val="0"/>
          <w:szCs w:val="22"/>
          <w:lang w:eastAsia="es-ES"/>
          <w14:ligatures w14:val="none"/>
        </w:rPr>
        <w:t>ex</w:t>
      </w:r>
      <w:r w:rsidRPr="00673BC4">
        <w:rPr>
          <w:rFonts w:eastAsia="Times New Roman"/>
          <w:bCs/>
          <w:kern w:val="0"/>
          <w:szCs w:val="22"/>
          <w:lang w:eastAsia="es-ES"/>
          <w14:ligatures w14:val="none"/>
        </w:rPr>
        <w:t xml:space="preserve"> art.18.1 CE</w:t>
      </w:r>
      <w:r w:rsidRPr="00673BC4">
        <w:rPr>
          <w:rFonts w:eastAsia="Times New Roman"/>
          <w:bCs/>
          <w:kern w:val="0"/>
          <w:szCs w:val="22"/>
          <w:vertAlign w:val="superscript"/>
          <w:lang w:eastAsia="es-ES"/>
          <w14:ligatures w14:val="none"/>
        </w:rPr>
        <w:footnoteReference w:id="49"/>
      </w:r>
      <w:r w:rsidRPr="00673BC4">
        <w:rPr>
          <w:rFonts w:eastAsia="Times New Roman"/>
          <w:bCs/>
          <w:kern w:val="0"/>
          <w:szCs w:val="22"/>
          <w:lang w:eastAsia="es-ES"/>
          <w14:ligatures w14:val="none"/>
        </w:rPr>
        <w:t xml:space="preserve"> y art.8.1 del Convenio para la Protección de los Derechos Humanos y de las </w:t>
      </w:r>
      <w:r w:rsidRPr="00673BC4">
        <w:rPr>
          <w:rFonts w:eastAsia="Times New Roman"/>
          <w:bCs/>
          <w:kern w:val="0"/>
          <w:szCs w:val="22"/>
          <w:lang w:eastAsia="es-ES"/>
          <w14:ligatures w14:val="none"/>
        </w:rPr>
        <w:lastRenderedPageBreak/>
        <w:t>Libertades Fundamentales</w:t>
      </w:r>
      <w:r w:rsidRPr="00673BC4">
        <w:rPr>
          <w:rFonts w:eastAsia="Times New Roman"/>
          <w:bCs/>
          <w:kern w:val="0"/>
          <w:szCs w:val="22"/>
          <w:vertAlign w:val="superscript"/>
          <w:lang w:eastAsia="es-ES"/>
          <w14:ligatures w14:val="none"/>
        </w:rPr>
        <w:footnoteReference w:id="50"/>
      </w:r>
      <w:r w:rsidRPr="00673BC4">
        <w:rPr>
          <w:rFonts w:eastAsia="Times New Roman"/>
          <w:bCs/>
          <w:kern w:val="0"/>
          <w:szCs w:val="22"/>
          <w:lang w:eastAsia="es-ES"/>
          <w14:ligatures w14:val="none"/>
        </w:rPr>
        <w:t>. Entendía la defensa de la madre que tal pediatra había obrado sin el preceptivo mandamiento judicial; y que, por ende, habiéndose vulnerado la intimidad de la niña, la práctica de dicha exploración genital no era lícita. Al amparo del art.262 LECrim</w:t>
      </w:r>
      <w:r w:rsidRPr="00673BC4">
        <w:rPr>
          <w:rFonts w:eastAsia="Times New Roman"/>
          <w:bCs/>
          <w:kern w:val="0"/>
          <w:szCs w:val="22"/>
          <w:vertAlign w:val="superscript"/>
          <w:lang w:eastAsia="es-ES"/>
          <w14:ligatures w14:val="none"/>
        </w:rPr>
        <w:footnoteReference w:id="51"/>
      </w:r>
      <w:r w:rsidRPr="00673BC4">
        <w:rPr>
          <w:rFonts w:eastAsia="Times New Roman"/>
          <w:bCs/>
          <w:kern w:val="0"/>
          <w:szCs w:val="22"/>
          <w:lang w:eastAsia="es-ES"/>
          <w14:ligatures w14:val="none"/>
        </w:rPr>
        <w:t>, se argumentaba asimismo que, dado que no existía la obligación de denunciar al no tratarse de un delito flagrante, la citada pediatra había infringido también el secreto profesional al haber remitido el referido informe médico al juzgado de guardia. En una sutil variante o ampliación del mismo argumento, la letrada del padre entendía que, en lo relativo a la exploración genital de la niña, se había vulnerado el art.18.1 CE, si bien, no tanto por ausencia de mandamiento judicial, sino por falta del consentimiento de los padres para su práctica. Amparándose hipotéticamente en el tenor del correspondiente protocolo sanitario, alegaba que, en tal caso, era necesario dicho consentimiento, pues habían sido los propios padres de la menor quienes habían referido a la pediatra que a la niña se le hubo practicado la ablación genital a las dos semanas de nacer en Gambia. Pese a la nimiedad de la diferencia en el razonamiento, lo cierto es que ambos progenitores solicitaban lo mismo: que, en virtud de la teoría de árbol de la fruta envenenada, se declarase nula la prueba de la exploración, así como todas aquellas derivadas de la misma. Carente de prueba el proceso, ello derivaba obligadamente en el sobreseimiento de los progenitores.</w:t>
      </w:r>
    </w:p>
    <w:p w14:paraId="3F381E7D" w14:textId="77777777" w:rsidR="00673BC4" w:rsidRPr="00673BC4" w:rsidRDefault="00673BC4" w:rsidP="00482BD7">
      <w:pPr>
        <w:spacing w:line="360" w:lineRule="auto"/>
        <w:ind w:firstLine="709"/>
        <w:jc w:val="both"/>
        <w:rPr>
          <w:rFonts w:eastAsia="Times New Roman"/>
          <w:bCs/>
          <w:kern w:val="0"/>
          <w:szCs w:val="22"/>
          <w:lang w:eastAsia="es-ES"/>
          <w14:ligatures w14:val="none"/>
        </w:rPr>
      </w:pPr>
      <w:r w:rsidRPr="00673BC4">
        <w:rPr>
          <w:rFonts w:eastAsia="Times New Roman"/>
          <w:bCs/>
          <w:kern w:val="0"/>
          <w:szCs w:val="22"/>
          <w:lang w:eastAsia="es-ES"/>
          <w14:ligatures w14:val="none"/>
        </w:rPr>
        <w:t xml:space="preserve">Tanto el Ministerio Fiscal como la Acusación Particular se opusieron a la nulidad interesada en el entendido de que, frente el derecho fundamental a la intimidad personal y familiar, frente a la falta de consentimiento de los padres o de un mandamiento judicial y frente al deber del secreto profesional de la médica, debía prevalecer la protección del interés de la víctima. Esta fue, en fin, la postura adoptada por el Tribunal, quien al amparo del art.2 de la LO 1/1996, de 15 de enero, de Protección Jurídica del Menor, rechazó el planteamiento de las defensas de los progenitores por entender, que debía primar el interés </w:t>
      </w:r>
      <w:r w:rsidRPr="00673BC4">
        <w:rPr>
          <w:rFonts w:eastAsia="Times New Roman"/>
          <w:bCs/>
          <w:kern w:val="0"/>
          <w:szCs w:val="22"/>
          <w:lang w:eastAsia="es-ES"/>
          <w14:ligatures w14:val="none"/>
        </w:rPr>
        <w:lastRenderedPageBreak/>
        <w:t>superior del menor, y más concretamente la protección de su integridad física y psíquica sobre cualquier otro interés legítimo que pudiera concurrir</w:t>
      </w:r>
      <w:r w:rsidRPr="00673BC4">
        <w:rPr>
          <w:rFonts w:eastAsia="Times New Roman"/>
          <w:bCs/>
          <w:kern w:val="0"/>
          <w:szCs w:val="22"/>
          <w:vertAlign w:val="superscript"/>
          <w:lang w:eastAsia="es-ES"/>
          <w14:ligatures w14:val="none"/>
        </w:rPr>
        <w:footnoteReference w:id="52"/>
      </w:r>
      <w:r w:rsidRPr="00673BC4">
        <w:rPr>
          <w:rFonts w:eastAsia="Times New Roman"/>
          <w:bCs/>
          <w:kern w:val="0"/>
          <w:szCs w:val="22"/>
          <w:lang w:eastAsia="es-ES"/>
          <w14:ligatures w14:val="none"/>
        </w:rPr>
        <w:t xml:space="preserve">. </w:t>
      </w:r>
    </w:p>
    <w:p w14:paraId="145D2B28" w14:textId="55F22915" w:rsidR="001F6938" w:rsidRDefault="00482BD7" w:rsidP="00482BD7">
      <w:pPr>
        <w:spacing w:before="120" w:after="120" w:line="360" w:lineRule="auto"/>
        <w:ind w:left="709"/>
        <w:jc w:val="both"/>
        <w:rPr>
          <w:rFonts w:eastAsia="Times New Roman"/>
          <w:bCs/>
          <w:kern w:val="0"/>
          <w:szCs w:val="22"/>
          <w:lang w:eastAsia="es-ES"/>
          <w14:ligatures w14:val="none"/>
        </w:rPr>
      </w:pPr>
      <w:r>
        <w:rPr>
          <w:rFonts w:eastAsia="Times New Roman"/>
          <w:bCs/>
          <w:i/>
          <w:iCs/>
          <w:kern w:val="0"/>
          <w:szCs w:val="22"/>
          <w:lang w:eastAsia="es-ES"/>
          <w14:ligatures w14:val="none"/>
        </w:rPr>
        <w:t>3</w:t>
      </w:r>
      <w:r w:rsidRPr="00A22CDF">
        <w:rPr>
          <w:rFonts w:eastAsia="Times New Roman"/>
          <w:bCs/>
          <w:i/>
          <w:iCs/>
          <w:kern w:val="0"/>
          <w:szCs w:val="22"/>
          <w:lang w:eastAsia="es-ES"/>
          <w14:ligatures w14:val="none"/>
        </w:rPr>
        <w:t>.</w:t>
      </w:r>
      <w:r>
        <w:rPr>
          <w:rFonts w:eastAsia="Times New Roman"/>
          <w:bCs/>
          <w:i/>
          <w:iCs/>
          <w:kern w:val="0"/>
          <w:szCs w:val="22"/>
          <w:lang w:eastAsia="es-ES"/>
          <w14:ligatures w14:val="none"/>
        </w:rPr>
        <w:t>6</w:t>
      </w:r>
      <w:r w:rsidRPr="00A22CDF">
        <w:rPr>
          <w:rFonts w:eastAsia="Times New Roman"/>
          <w:bCs/>
          <w:i/>
          <w:iCs/>
          <w:kern w:val="0"/>
          <w:szCs w:val="22"/>
          <w:lang w:eastAsia="es-ES"/>
          <w14:ligatures w14:val="none"/>
        </w:rPr>
        <w:t xml:space="preserve">. </w:t>
      </w:r>
      <w:r w:rsidRPr="00482BD7">
        <w:rPr>
          <w:rFonts w:eastAsia="Times New Roman"/>
          <w:bCs/>
          <w:i/>
          <w:iCs/>
          <w:kern w:val="0"/>
          <w:szCs w:val="22"/>
          <w:lang w:eastAsia="es-ES"/>
          <w14:ligatures w14:val="none"/>
        </w:rPr>
        <w:t>La reparación del daño</w:t>
      </w:r>
    </w:p>
    <w:p w14:paraId="13643DA2" w14:textId="77777777" w:rsidR="00482BD7" w:rsidRPr="00482BD7" w:rsidRDefault="00482BD7" w:rsidP="00482BD7">
      <w:pPr>
        <w:spacing w:line="360" w:lineRule="auto"/>
        <w:ind w:firstLine="709"/>
        <w:jc w:val="both"/>
        <w:rPr>
          <w:rFonts w:eastAsia="Times New Roman"/>
          <w:kern w:val="0"/>
          <w:szCs w:val="22"/>
          <w:lang w:eastAsia="es-ES"/>
          <w14:ligatures w14:val="none"/>
        </w:rPr>
      </w:pPr>
      <w:r w:rsidRPr="00482BD7">
        <w:rPr>
          <w:rFonts w:eastAsia="Times New Roman"/>
          <w:kern w:val="0"/>
          <w:szCs w:val="22"/>
          <w:lang w:eastAsia="es-ES"/>
          <w14:ligatures w14:val="none"/>
        </w:rPr>
        <w:t>Concluiremos este breve repaso de las distintas tesis argüidas en los precedentes jurisprudenciales estudiados con otro razonamiento, el de la reparación del daño del art. 21.5 CP, esgrimido por la defensa del progenitor de dos menores afectadas, si no como eximente, sí como atenuante muy cualificada</w:t>
      </w:r>
      <w:r w:rsidRPr="00482BD7">
        <w:rPr>
          <w:rFonts w:eastAsia="Times New Roman"/>
          <w:kern w:val="0"/>
          <w:szCs w:val="22"/>
          <w:vertAlign w:val="superscript"/>
          <w:lang w:eastAsia="es-ES"/>
          <w14:ligatures w14:val="none"/>
        </w:rPr>
        <w:footnoteReference w:id="53"/>
      </w:r>
      <w:r w:rsidRPr="00482BD7">
        <w:rPr>
          <w:rFonts w:eastAsia="Times New Roman"/>
          <w:kern w:val="0"/>
          <w:szCs w:val="22"/>
          <w:lang w:eastAsia="es-ES"/>
          <w14:ligatures w14:val="none"/>
        </w:rPr>
        <w:t xml:space="preserve">. Basándose en tal precepto, su defensa solicitó una rebaja en la pena con base a que el progenitor había accedido a que, en el momento clínico oportuno, se sometiera a ambas hermanas a sendas intervenciones de reconstrucción del clítoris por parte de un afamado cirujano, el Dr. Pascual, del Instituto Dexeus de Barcelona. </w:t>
      </w:r>
    </w:p>
    <w:p w14:paraId="079D26C7" w14:textId="77777777" w:rsidR="00482BD7" w:rsidRPr="00482BD7" w:rsidRDefault="00482BD7" w:rsidP="00482BD7">
      <w:pPr>
        <w:spacing w:line="360" w:lineRule="auto"/>
        <w:ind w:firstLine="709"/>
        <w:jc w:val="both"/>
        <w:rPr>
          <w:rFonts w:eastAsia="Times New Roman"/>
          <w:kern w:val="0"/>
          <w:szCs w:val="22"/>
          <w:lang w:eastAsia="es-ES"/>
          <w14:ligatures w14:val="none"/>
        </w:rPr>
      </w:pPr>
      <w:r w:rsidRPr="00482BD7">
        <w:rPr>
          <w:rFonts w:eastAsia="Times New Roman"/>
          <w:kern w:val="0"/>
          <w:szCs w:val="22"/>
          <w:lang w:eastAsia="es-ES"/>
          <w14:ligatures w14:val="none"/>
        </w:rPr>
        <w:t xml:space="preserve">Sin embargo, dicho argumento no fue aceptado por la Audiencia Provincial de Barcelona. El Tribunal de apelación alegó que la iniciativa de los padres no podía considerarse ciertamente como una atenuante, en tanto en cuanto no constituía una reparación objetiva que disminuyera los efectos del daño con carácter previo al juicio oral, sino más bien una promesa o compromiso </w:t>
      </w:r>
      <w:r w:rsidRPr="00482BD7">
        <w:rPr>
          <w:rFonts w:eastAsia="Times New Roman"/>
          <w:i/>
          <w:kern w:val="0"/>
          <w:szCs w:val="22"/>
          <w:lang w:eastAsia="es-ES"/>
          <w14:ligatures w14:val="none"/>
        </w:rPr>
        <w:t>ad futurum</w:t>
      </w:r>
      <w:r w:rsidRPr="00482BD7">
        <w:rPr>
          <w:rFonts w:eastAsia="Times New Roman"/>
          <w:kern w:val="0"/>
          <w:szCs w:val="22"/>
          <w:lang w:eastAsia="es-ES"/>
          <w14:ligatures w14:val="none"/>
        </w:rPr>
        <w:t>, cuyo resultado, además era incierto. Y ello sin contar con que facilitar tal intervención quirúrgica entraba de lleno ya en el deber de los progenitores de velar por la salud e integridad física y emocional de sus hijas.</w:t>
      </w:r>
    </w:p>
    <w:p w14:paraId="0EA6B43E" w14:textId="32E5593D" w:rsidR="002119E5" w:rsidRDefault="00482BD7" w:rsidP="00482BD7">
      <w:pPr>
        <w:spacing w:line="360" w:lineRule="auto"/>
        <w:ind w:firstLine="709"/>
        <w:jc w:val="both"/>
        <w:rPr>
          <w:rFonts w:eastAsia="Times New Roman"/>
          <w:kern w:val="0"/>
          <w:szCs w:val="22"/>
          <w:lang w:eastAsia="es-ES"/>
          <w14:ligatures w14:val="none"/>
        </w:rPr>
      </w:pPr>
      <w:r w:rsidRPr="00482BD7">
        <w:rPr>
          <w:rFonts w:eastAsia="Times New Roman"/>
          <w:kern w:val="0"/>
          <w:szCs w:val="22"/>
          <w:lang w:eastAsia="es-ES"/>
          <w14:ligatures w14:val="none"/>
        </w:rPr>
        <w:t>Cuando el caso pasó al Tribunal Supremo, este se pronunció en idéntico sentido al rechazar la queja sobre una interpretación errónea del meritado art. 21.5 CP. Amén de puntualizar que, dada la edad de las víctimas, la cirugía no resultaba aún aconsejable, reiteraba que los daños ya se habían ocasionado y que una mera promesa de futuro de enmendarlos no entraba en la tipicidad de la atenuante invocada</w:t>
      </w:r>
      <w:r w:rsidRPr="00482BD7">
        <w:rPr>
          <w:rFonts w:eastAsia="Times New Roman"/>
          <w:kern w:val="0"/>
          <w:szCs w:val="22"/>
          <w:vertAlign w:val="superscript"/>
          <w:lang w:eastAsia="es-ES"/>
          <w14:ligatures w14:val="none"/>
        </w:rPr>
        <w:footnoteReference w:id="54"/>
      </w:r>
      <w:r w:rsidRPr="00482BD7">
        <w:rPr>
          <w:rFonts w:eastAsia="Times New Roman"/>
          <w:kern w:val="0"/>
          <w:szCs w:val="22"/>
          <w:lang w:eastAsia="es-ES"/>
          <w14:ligatures w14:val="none"/>
        </w:rPr>
        <w:t>.</w:t>
      </w:r>
    </w:p>
    <w:p w14:paraId="7841DC0E" w14:textId="643A8B0F" w:rsidR="00C2298E" w:rsidRPr="00D21949" w:rsidRDefault="00C2298E" w:rsidP="00C2298E">
      <w:pPr>
        <w:spacing w:line="360" w:lineRule="auto"/>
        <w:ind w:left="709" w:hanging="709"/>
        <w:jc w:val="both"/>
        <w:rPr>
          <w:rFonts w:eastAsia="Times New Roman"/>
          <w:kern w:val="0"/>
          <w:lang w:eastAsia="es-ES"/>
          <w14:ligatures w14:val="none"/>
        </w:rPr>
      </w:pPr>
      <w:r w:rsidRPr="00D21949">
        <w:lastRenderedPageBreak/>
        <w:t xml:space="preserve">            </w:t>
      </w:r>
      <w:r w:rsidR="00482BD7">
        <w:t>4</w:t>
      </w:r>
      <w:r w:rsidRPr="00D21949">
        <w:rPr>
          <w:smallCaps/>
        </w:rPr>
        <w:t xml:space="preserve">. </w:t>
      </w:r>
      <w:r w:rsidR="002119E5" w:rsidRPr="00113A16">
        <w:rPr>
          <w:smallCaps/>
        </w:rPr>
        <w:t>Conclusiones</w:t>
      </w:r>
    </w:p>
    <w:p w14:paraId="699D0A38" w14:textId="77777777" w:rsidR="00482BD7" w:rsidRPr="00482BD7" w:rsidRDefault="00482BD7" w:rsidP="00482BD7">
      <w:pPr>
        <w:spacing w:line="360" w:lineRule="auto"/>
        <w:ind w:firstLine="709"/>
        <w:jc w:val="both"/>
        <w:rPr>
          <w:rFonts w:eastAsia="Times New Roman"/>
          <w:kern w:val="0"/>
          <w:lang w:eastAsia="es-ES"/>
          <w14:ligatures w14:val="none"/>
        </w:rPr>
      </w:pPr>
      <w:r w:rsidRPr="00482BD7">
        <w:rPr>
          <w:rFonts w:eastAsia="Times New Roman"/>
          <w:kern w:val="0"/>
          <w:lang w:eastAsia="es-ES"/>
          <w14:ligatures w14:val="none"/>
        </w:rPr>
        <w:t>La mutilación genital femenina constituye desde 2003 un delito autónomo del Código Penal español dentro del título relativo a las lesiones. En virtud del art. 149.2 de este texto legal, está castigado con una pena de prisión de seis a doce años y, además, en determinados casos, con una pena de inhabilitación especial para el ejercicio de la patria potestad, tutela, curatela, guarda o acogimiento por tiempo de cuatro a diez años.</w:t>
      </w:r>
    </w:p>
    <w:p w14:paraId="489DEBCC" w14:textId="77777777" w:rsidR="00482BD7" w:rsidRPr="00482BD7" w:rsidRDefault="00482BD7" w:rsidP="00482BD7">
      <w:pPr>
        <w:spacing w:line="360" w:lineRule="auto"/>
        <w:ind w:firstLine="709"/>
        <w:jc w:val="both"/>
        <w:rPr>
          <w:rFonts w:eastAsia="Times New Roman"/>
          <w:kern w:val="0"/>
          <w:lang w:eastAsia="es-ES"/>
          <w14:ligatures w14:val="none"/>
        </w:rPr>
      </w:pPr>
      <w:r w:rsidRPr="00482BD7">
        <w:rPr>
          <w:rFonts w:eastAsia="Times New Roman"/>
          <w:kern w:val="0"/>
          <w:lang w:eastAsia="es-ES"/>
          <w14:ligatures w14:val="none"/>
        </w:rPr>
        <w:t>Actualmente y desde 2014, la jurisdicción penal española para el enjuiciamiento de delitos de mutilación genital femenina se fundamenta en la competencia extraterritorial prevista en el Código Penal y en la LO del Poder Judicial, vinculada a la adhesión de España al Convenio de Estambul de 2011.</w:t>
      </w:r>
    </w:p>
    <w:p w14:paraId="6D6BC8B3" w14:textId="77777777" w:rsidR="00482BD7" w:rsidRPr="00482BD7" w:rsidRDefault="00482BD7" w:rsidP="00482BD7">
      <w:pPr>
        <w:spacing w:line="360" w:lineRule="auto"/>
        <w:ind w:firstLine="709"/>
        <w:jc w:val="both"/>
        <w:rPr>
          <w:rFonts w:eastAsia="Times New Roman"/>
          <w:kern w:val="0"/>
          <w:lang w:eastAsia="es-ES"/>
          <w14:ligatures w14:val="none"/>
        </w:rPr>
      </w:pPr>
      <w:r w:rsidRPr="00482BD7">
        <w:rPr>
          <w:rFonts w:eastAsia="Times New Roman"/>
          <w:kern w:val="0"/>
          <w:lang w:eastAsia="es-ES"/>
          <w14:ligatures w14:val="none"/>
        </w:rPr>
        <w:t>En el plano de la tutela de víctimas menores, el art. 544 quinquies LECrim faculta al juez a adoptar con urgencia y finalidad estrictamente tuitiva medidas civiles relativas a las funciones parentales, incluida la eventual declaración de desamparo con asunción inmediata de su tutela por una entidad pública.</w:t>
      </w:r>
    </w:p>
    <w:p w14:paraId="5AFF61D4" w14:textId="77777777" w:rsidR="00482BD7" w:rsidRPr="00482BD7" w:rsidRDefault="00482BD7" w:rsidP="00482BD7">
      <w:pPr>
        <w:spacing w:line="360" w:lineRule="auto"/>
        <w:ind w:firstLine="709"/>
        <w:jc w:val="both"/>
        <w:rPr>
          <w:rFonts w:eastAsia="Times New Roman"/>
          <w:kern w:val="0"/>
          <w:lang w:eastAsia="es-ES"/>
          <w14:ligatures w14:val="none"/>
        </w:rPr>
      </w:pPr>
      <w:r w:rsidRPr="00482BD7">
        <w:rPr>
          <w:rFonts w:eastAsia="Times New Roman"/>
          <w:kern w:val="0"/>
          <w:lang w:eastAsia="es-ES"/>
          <w14:ligatures w14:val="none"/>
        </w:rPr>
        <w:t>La procedencia geográfica de las víctimas se concentra en el África occidental; Gambia en primer término, y también Senegal, Mauritania y Malí. Aunque se han enjuiciado hechos cometidos en territorio nacional, es más habitual que la mutilación se haya ejecutado en el país de origen. Su posterior detección tiene lugar en el ámbito sanitario, bien en la pediatría de atención primaria, bien en programas protocolizados de prevención del riesgo dirigidos a población infantil vulnerable.</w:t>
      </w:r>
    </w:p>
    <w:p w14:paraId="1258E3F3" w14:textId="77777777" w:rsidR="00482BD7" w:rsidRPr="00482BD7" w:rsidRDefault="00482BD7" w:rsidP="00482BD7">
      <w:pPr>
        <w:spacing w:line="360" w:lineRule="auto"/>
        <w:ind w:firstLine="709"/>
        <w:jc w:val="both"/>
        <w:rPr>
          <w:rFonts w:eastAsia="Times New Roman"/>
          <w:kern w:val="0"/>
          <w:lang w:eastAsia="es-ES"/>
          <w14:ligatures w14:val="none"/>
        </w:rPr>
      </w:pPr>
      <w:r w:rsidRPr="00482BD7">
        <w:rPr>
          <w:rFonts w:eastAsia="Times New Roman"/>
          <w:kern w:val="0"/>
          <w:lang w:eastAsia="es-ES"/>
          <w14:ligatures w14:val="none"/>
        </w:rPr>
        <w:t>Las defensas de los progenitores acusados han invocado convicciones religiosas o pautas consuetudinarias para justificar la ablación, pero los tribunales españoles han rechazado ese alegato cultural recordando que la integridad física y moral de la menor es un bien jurídico indisponible y que el respeto a las tradiciones no legitima conductas contrarias a los derechos fundamentales ni exime de responsabilidad penal a sus autores.</w:t>
      </w:r>
    </w:p>
    <w:p w14:paraId="772DA443" w14:textId="77777777" w:rsidR="00482BD7" w:rsidRPr="00482BD7" w:rsidRDefault="00482BD7" w:rsidP="00482BD7">
      <w:pPr>
        <w:spacing w:line="360" w:lineRule="auto"/>
        <w:ind w:firstLine="709"/>
        <w:jc w:val="both"/>
        <w:rPr>
          <w:rFonts w:eastAsia="Times New Roman"/>
          <w:kern w:val="0"/>
          <w:lang w:eastAsia="es-ES"/>
          <w14:ligatures w14:val="none"/>
        </w:rPr>
      </w:pPr>
      <w:r w:rsidRPr="00482BD7">
        <w:rPr>
          <w:rFonts w:eastAsia="Times New Roman"/>
          <w:kern w:val="0"/>
          <w:lang w:eastAsia="es-ES"/>
          <w14:ligatures w14:val="none"/>
        </w:rPr>
        <w:t>La jurisprudencia ha tratado asimismo el error de prohibición del art. 14.3 CP, diferenciando entre su modalidad vencible —que atenúa la pena— e invencible —que excluye la culpabilidad— y resolviendo caso por caso según el grado de arraigo del acusado en España, su dominio del idioma, las redes de orientación disponibles y la posibilidad razonable de haber disipado el desconocimiento sobre el carácter delictivo de la mutilación.</w:t>
      </w:r>
    </w:p>
    <w:p w14:paraId="2D038704" w14:textId="77777777" w:rsidR="00482BD7" w:rsidRPr="00482BD7" w:rsidRDefault="00482BD7" w:rsidP="00482BD7">
      <w:pPr>
        <w:spacing w:line="360" w:lineRule="auto"/>
        <w:ind w:firstLine="709"/>
        <w:jc w:val="both"/>
        <w:rPr>
          <w:rFonts w:eastAsia="Times New Roman"/>
          <w:kern w:val="0"/>
          <w:lang w:eastAsia="es-ES"/>
          <w14:ligatures w14:val="none"/>
        </w:rPr>
      </w:pPr>
      <w:r w:rsidRPr="00482BD7">
        <w:rPr>
          <w:rFonts w:eastAsia="Times New Roman"/>
          <w:kern w:val="0"/>
          <w:lang w:eastAsia="es-ES"/>
          <w14:ligatures w14:val="none"/>
        </w:rPr>
        <w:lastRenderedPageBreak/>
        <w:t xml:space="preserve">Resulta habitual que los progenitores traten de exculparse del delito mediante la afirmación de que su comisión correspondió a terceros, habitualmente una abuela de la víctima. Sin embargo, los tribunales han recordado que los progenitores ostentan una posición de garante, con respecto a la cual la omisión en la evitación del delito puede integrar su autoría por comisión. La respuesta judicial se ha ido modulando caso a caso: se confirma la responsabilidad cuando ha existido conocimiento y posibilidades reales de evitación por parte del acusado; y se absuelve cuando no ha quedado probado ni su conocimiento previo ni su capacidad de impedir la mutilación. </w:t>
      </w:r>
    </w:p>
    <w:p w14:paraId="68A2EC8B" w14:textId="7B5F74D9" w:rsidR="00F84A5C" w:rsidRPr="00F84A5C" w:rsidRDefault="00482BD7" w:rsidP="00482BD7">
      <w:pPr>
        <w:spacing w:line="360" w:lineRule="auto"/>
        <w:ind w:firstLine="709"/>
        <w:jc w:val="both"/>
        <w:rPr>
          <w:rFonts w:eastAsia="Times New Roman"/>
          <w:kern w:val="0"/>
          <w:lang w:eastAsia="es-ES"/>
          <w14:ligatures w14:val="none"/>
        </w:rPr>
      </w:pPr>
      <w:r w:rsidRPr="00482BD7">
        <w:rPr>
          <w:rFonts w:eastAsia="Times New Roman"/>
          <w:kern w:val="0"/>
          <w:lang w:eastAsia="es-ES"/>
          <w14:ligatures w14:val="none"/>
        </w:rPr>
        <w:t xml:space="preserve">Otros argumentos jurisprudenciales dignos de mención son la presunción de inocencia, que se presenta a menudo asociado al principio de </w:t>
      </w:r>
      <w:r w:rsidRPr="00482BD7">
        <w:rPr>
          <w:rFonts w:eastAsia="Times New Roman"/>
          <w:i/>
          <w:kern w:val="0"/>
          <w:lang w:eastAsia="es-ES"/>
          <w14:ligatures w14:val="none"/>
        </w:rPr>
        <w:t>in dubio pro reo</w:t>
      </w:r>
      <w:r w:rsidRPr="00482BD7">
        <w:rPr>
          <w:rFonts w:eastAsia="Times New Roman"/>
          <w:kern w:val="0"/>
          <w:lang w:eastAsia="es-ES"/>
          <w14:ligatures w14:val="none"/>
        </w:rPr>
        <w:t>; la consideración como atenuante del compromiso por el acusado de la reparación del daño a la víctima; o el derecho a la intimidad como límite invalidante de la prueba pericial médica</w:t>
      </w:r>
    </w:p>
    <w:sectPr w:rsidR="00F84A5C" w:rsidRPr="00F84A5C" w:rsidSect="004338AF">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08" w:footer="708" w:gutter="0"/>
      <w:pgNumType w:start="8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DB0F2" w14:textId="77777777" w:rsidR="005821C8" w:rsidRPr="00D21949" w:rsidRDefault="005821C8" w:rsidP="00FB2099">
      <w:r w:rsidRPr="00D21949">
        <w:separator/>
      </w:r>
    </w:p>
  </w:endnote>
  <w:endnote w:type="continuationSeparator" w:id="0">
    <w:p w14:paraId="376007D4" w14:textId="77777777" w:rsidR="005821C8" w:rsidRPr="00D21949" w:rsidRDefault="005821C8" w:rsidP="00FB2099">
      <w:r w:rsidRPr="00D219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Fira Sans">
    <w:charset w:val="00"/>
    <w:family w:val="swiss"/>
    <w:pitch w:val="variable"/>
    <w:sig w:usb0="600002FF"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3A05" w14:textId="77777777" w:rsidR="00242469" w:rsidRPr="00D21949" w:rsidRDefault="00242469" w:rsidP="00242469">
    <w:pPr>
      <w:tabs>
        <w:tab w:val="center" w:pos="4252"/>
        <w:tab w:val="right" w:pos="8504"/>
      </w:tabs>
      <w:jc w:val="center"/>
      <w:rPr>
        <w:rFonts w:ascii="Garamond" w:eastAsia="MS Mincho" w:hAnsi="Garamond"/>
        <w:kern w:val="0"/>
        <w:sz w:val="20"/>
        <w:szCs w:val="20"/>
        <w:lang w:eastAsia="it-IT"/>
        <w14:ligatures w14:val="none"/>
      </w:rPr>
    </w:pPr>
  </w:p>
  <w:p w14:paraId="403AA25D" w14:textId="77777777" w:rsidR="00242469" w:rsidRPr="00D21949" w:rsidRDefault="00242469" w:rsidP="00242469">
    <w:pPr>
      <w:tabs>
        <w:tab w:val="center" w:pos="4252"/>
        <w:tab w:val="right" w:pos="8504"/>
      </w:tabs>
      <w:jc w:val="center"/>
      <w:rPr>
        <w:rFonts w:ascii="Garamond" w:eastAsia="MS Mincho" w:hAnsi="Garamond"/>
        <w:kern w:val="0"/>
        <w:sz w:val="20"/>
        <w:szCs w:val="20"/>
        <w:lang w:eastAsia="it-IT"/>
        <w14:ligatures w14:val="none"/>
      </w:rPr>
    </w:pPr>
  </w:p>
  <w:p w14:paraId="2473ADBE" w14:textId="77777777" w:rsidR="00242469" w:rsidRPr="00D21949" w:rsidRDefault="00242469" w:rsidP="00242469">
    <w:pPr>
      <w:tabs>
        <w:tab w:val="center" w:pos="4252"/>
        <w:tab w:val="right" w:pos="8504"/>
      </w:tabs>
      <w:jc w:val="center"/>
      <w:rPr>
        <w:rFonts w:ascii="Garamond" w:eastAsia="MS Mincho" w:hAnsi="Garamond"/>
        <w:kern w:val="0"/>
        <w:sz w:val="20"/>
        <w:szCs w:val="20"/>
        <w:lang w:eastAsia="it-IT"/>
        <w14:ligatures w14:val="none"/>
      </w:rPr>
    </w:pPr>
    <w:r w:rsidRPr="00D21949">
      <w:rPr>
        <w:rFonts w:ascii="Calibri" w:eastAsia="MS Mincho" w:hAnsi="Calibri"/>
        <w:noProof/>
        <w:kern w:val="0"/>
        <w:lang w:eastAsia="es-ES"/>
        <w14:ligatures w14:val="none"/>
      </w:rPr>
      <mc:AlternateContent>
        <mc:Choice Requires="wps">
          <w:drawing>
            <wp:anchor distT="0" distB="0" distL="114300" distR="114300" simplePos="0" relativeHeight="251678720" behindDoc="0" locked="0" layoutInCell="1" allowOverlap="1" wp14:anchorId="2C63D724" wp14:editId="0D4138A7">
              <wp:simplePos x="0" y="0"/>
              <wp:positionH relativeFrom="margin">
                <wp:align>center</wp:align>
              </wp:positionH>
              <wp:positionV relativeFrom="paragraph">
                <wp:posOffset>79375</wp:posOffset>
              </wp:positionV>
              <wp:extent cx="5058000" cy="0"/>
              <wp:effectExtent l="0" t="0" r="0" b="0"/>
              <wp:wrapNone/>
              <wp:docPr id="925370386" name="Straight Connector 4"/>
              <wp:cNvGraphicFramePr/>
              <a:graphic xmlns:a="http://schemas.openxmlformats.org/drawingml/2006/main">
                <a:graphicData uri="http://schemas.microsoft.com/office/word/2010/wordprocessingShape">
                  <wps:wsp>
                    <wps:cNvCnPr/>
                    <wps:spPr>
                      <a:xfrm>
                        <a:off x="0" y="0"/>
                        <a:ext cx="5058000" cy="0"/>
                      </a:xfrm>
                      <a:prstGeom prst="line">
                        <a:avLst/>
                      </a:prstGeom>
                      <a:noFill/>
                      <a:ln w="25400" cap="flat" cmpd="sng" algn="ctr">
                        <a:solidFill>
                          <a:srgbClr val="4F81BD"/>
                        </a:solidFill>
                        <a:prstDash val="solid"/>
                        <a:miter lim="800000"/>
                      </a:ln>
                      <a:effectLst/>
                    </wps:spPr>
                    <wps:bodyPr/>
                  </wps:wsp>
                </a:graphicData>
              </a:graphic>
              <wp14:sizeRelH relativeFrom="margin">
                <wp14:pctWidth>0</wp14:pctWidth>
              </wp14:sizeRelH>
            </wp:anchor>
          </w:drawing>
        </mc:Choice>
        <mc:Fallback>
          <w:pict>
            <v:line w14:anchorId="09B5D16B" id="Straight Connector 4" o:spid="_x0000_s1026" style="position:absolute;z-index:25167872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25pt" to="398.2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" strokecolor="#4f81bd" strokeweight="2pt">
              <v:stroke joinstyle="miter"/>
              <w10:wrap anchorx="margin"/>
            </v:line>
          </w:pict>
        </mc:Fallback>
      </mc:AlternateContent>
    </w:r>
  </w:p>
  <w:p w14:paraId="04DD1157" w14:textId="77777777" w:rsidR="00242469" w:rsidRPr="00D21949" w:rsidRDefault="00242469" w:rsidP="00242469">
    <w:pPr>
      <w:tabs>
        <w:tab w:val="center" w:pos="4252"/>
        <w:tab w:val="right" w:pos="8504"/>
      </w:tabs>
      <w:jc w:val="center"/>
      <w:rPr>
        <w:rFonts w:ascii="Garamond" w:eastAsia="MS Mincho" w:hAnsi="Garamond"/>
        <w:kern w:val="0"/>
        <w:sz w:val="20"/>
        <w:szCs w:val="20"/>
        <w:lang w:eastAsia="it-IT"/>
        <w14:ligatures w14:val="none"/>
      </w:rPr>
    </w:pPr>
    <w:r w:rsidRPr="00D21949">
      <w:rPr>
        <w:rFonts w:ascii="Garamond" w:eastAsia="MS Mincho" w:hAnsi="Garamond"/>
        <w:kern w:val="0"/>
        <w:sz w:val="20"/>
        <w:szCs w:val="20"/>
        <w:lang w:eastAsia="it-IT"/>
        <w14:ligatures w14:val="none"/>
      </w:rPr>
      <w:t>Vergentis. Revista de Investigación de la Cátedra Internacional Conjunta Inocencio III</w:t>
    </w:r>
  </w:p>
  <w:p w14:paraId="2FEEFCBD" w14:textId="77777777" w:rsidR="00242469" w:rsidRPr="00D21949" w:rsidRDefault="00242469" w:rsidP="00242469">
    <w:pPr>
      <w:tabs>
        <w:tab w:val="center" w:pos="4252"/>
        <w:tab w:val="right" w:pos="8504"/>
      </w:tabs>
      <w:jc w:val="center"/>
      <w:rPr>
        <w:rFonts w:ascii="Garamond" w:eastAsia="MS Mincho" w:hAnsi="Garamond"/>
        <w:kern w:val="0"/>
        <w:sz w:val="20"/>
        <w:szCs w:val="20"/>
        <w:lang w:eastAsia="it-IT"/>
        <w14:ligatures w14:val="none"/>
      </w:rPr>
    </w:pPr>
    <w:r w:rsidRPr="00D21949">
      <w:rPr>
        <w:rFonts w:ascii="Garamond" w:eastAsia="MS Mincho" w:hAnsi="Garamond"/>
        <w:kern w:val="0"/>
        <w:sz w:val="20"/>
        <w:szCs w:val="20"/>
        <w:lang w:eastAsia="it-IT"/>
        <w14:ligatures w14:val="none"/>
      </w:rPr>
      <w:t>Nº 21, julio-diciembre 2025, ISSN: 2445-2394, e-ISSN: 2605-3357</w:t>
    </w:r>
  </w:p>
  <w:p w14:paraId="55319DB3" w14:textId="3367AF6C" w:rsidR="00A935AB" w:rsidRPr="00242469" w:rsidRDefault="002F423F" w:rsidP="00242469">
    <w:pPr>
      <w:tabs>
        <w:tab w:val="center" w:pos="4252"/>
        <w:tab w:val="right" w:pos="8504"/>
      </w:tabs>
      <w:jc w:val="center"/>
      <w:rPr>
        <w:rFonts w:ascii="Garamond" w:eastAsia="MS Mincho" w:hAnsi="Garamond"/>
        <w:kern w:val="0"/>
        <w:sz w:val="20"/>
        <w:szCs w:val="20"/>
        <w:lang w:eastAsia="it-IT"/>
        <w14:ligatures w14:val="none"/>
      </w:rPr>
    </w:pPr>
    <w:r w:rsidRPr="005E6F0F">
      <w:rPr>
        <w:rFonts w:ascii="Garamond" w:eastAsia="MS Mincho" w:hAnsi="Garamond"/>
        <w:smallCaps/>
        <w:kern w:val="0"/>
        <w:sz w:val="20"/>
        <w:szCs w:val="20"/>
        <w:lang w:eastAsia="it-IT"/>
        <w14:ligatures w14:val="none"/>
      </w:rPr>
      <w:t xml:space="preserve">Pelayo Jardón Pardo </w:t>
    </w:r>
    <w:r>
      <w:rPr>
        <w:rFonts w:ascii="Garamond" w:eastAsia="MS Mincho" w:hAnsi="Garamond"/>
        <w:smallCaps/>
        <w:kern w:val="0"/>
        <w:sz w:val="20"/>
        <w:szCs w:val="20"/>
        <w:lang w:eastAsia="it-IT"/>
        <w14:ligatures w14:val="none"/>
      </w:rPr>
      <w:t>d</w:t>
    </w:r>
    <w:r w:rsidRPr="005E6F0F">
      <w:rPr>
        <w:rFonts w:ascii="Garamond" w:eastAsia="MS Mincho" w:hAnsi="Garamond"/>
        <w:smallCaps/>
        <w:kern w:val="0"/>
        <w:sz w:val="20"/>
        <w:szCs w:val="20"/>
        <w:lang w:eastAsia="it-IT"/>
        <w14:ligatures w14:val="none"/>
      </w:rPr>
      <w:t>e Santayana</w:t>
    </w:r>
    <w:r w:rsidR="00242469" w:rsidRPr="00D21949">
      <w:rPr>
        <w:rFonts w:ascii="Garamond" w:eastAsia="MS Mincho" w:hAnsi="Garamond"/>
        <w:kern w:val="0"/>
        <w:sz w:val="20"/>
        <w:szCs w:val="20"/>
        <w:lang w:eastAsia="it-IT"/>
        <w14:ligatures w14:val="none"/>
      </w:rPr>
      <w:t xml:space="preserve">, pp. </w:t>
    </w:r>
    <w:r w:rsidR="00341ECF">
      <w:rPr>
        <w:rFonts w:ascii="Garamond" w:eastAsia="MS Mincho" w:hAnsi="Garamond"/>
        <w:kern w:val="0"/>
        <w:sz w:val="20"/>
        <w:szCs w:val="20"/>
        <w:lang w:eastAsia="it-IT"/>
        <w14:ligatures w14:val="none"/>
      </w:rPr>
      <w:t>85-114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FDEE" w14:textId="77777777" w:rsidR="00242469" w:rsidRPr="00D21949" w:rsidRDefault="00242469" w:rsidP="00242469">
    <w:pPr>
      <w:tabs>
        <w:tab w:val="center" w:pos="4252"/>
        <w:tab w:val="right" w:pos="8504"/>
      </w:tabs>
      <w:jc w:val="center"/>
      <w:rPr>
        <w:rFonts w:ascii="Garamond" w:eastAsia="MS Mincho" w:hAnsi="Garamond"/>
        <w:kern w:val="0"/>
        <w:sz w:val="20"/>
        <w:szCs w:val="20"/>
        <w:lang w:eastAsia="it-IT"/>
        <w14:ligatures w14:val="none"/>
      </w:rPr>
    </w:pPr>
  </w:p>
  <w:p w14:paraId="0F097B2A" w14:textId="77777777" w:rsidR="00242469" w:rsidRPr="00D21949" w:rsidRDefault="00242469" w:rsidP="00242469">
    <w:pPr>
      <w:tabs>
        <w:tab w:val="center" w:pos="4252"/>
        <w:tab w:val="right" w:pos="8504"/>
      </w:tabs>
      <w:jc w:val="center"/>
      <w:rPr>
        <w:rFonts w:ascii="Garamond" w:eastAsia="MS Mincho" w:hAnsi="Garamond"/>
        <w:kern w:val="0"/>
        <w:sz w:val="20"/>
        <w:szCs w:val="20"/>
        <w:lang w:eastAsia="it-IT"/>
        <w14:ligatures w14:val="none"/>
      </w:rPr>
    </w:pPr>
  </w:p>
  <w:p w14:paraId="79C6BCB7" w14:textId="77777777" w:rsidR="00242469" w:rsidRPr="00D21949" w:rsidRDefault="00242469" w:rsidP="00242469">
    <w:pPr>
      <w:tabs>
        <w:tab w:val="center" w:pos="4252"/>
        <w:tab w:val="right" w:pos="8504"/>
      </w:tabs>
      <w:jc w:val="center"/>
      <w:rPr>
        <w:rFonts w:ascii="Garamond" w:eastAsia="MS Mincho" w:hAnsi="Garamond"/>
        <w:kern w:val="0"/>
        <w:sz w:val="20"/>
        <w:szCs w:val="20"/>
        <w:lang w:eastAsia="it-IT"/>
        <w14:ligatures w14:val="none"/>
      </w:rPr>
    </w:pPr>
    <w:r w:rsidRPr="00D21949">
      <w:rPr>
        <w:rFonts w:ascii="Calibri" w:eastAsia="MS Mincho" w:hAnsi="Calibri"/>
        <w:noProof/>
        <w:kern w:val="0"/>
        <w:lang w:eastAsia="es-ES"/>
        <w14:ligatures w14:val="none"/>
      </w:rPr>
      <mc:AlternateContent>
        <mc:Choice Requires="wps">
          <w:drawing>
            <wp:anchor distT="0" distB="0" distL="114300" distR="114300" simplePos="0" relativeHeight="251680768" behindDoc="0" locked="0" layoutInCell="1" allowOverlap="1" wp14:anchorId="3B23DEC3" wp14:editId="6A25C1BE">
              <wp:simplePos x="0" y="0"/>
              <wp:positionH relativeFrom="margin">
                <wp:align>center</wp:align>
              </wp:positionH>
              <wp:positionV relativeFrom="paragraph">
                <wp:posOffset>79375</wp:posOffset>
              </wp:positionV>
              <wp:extent cx="5058000" cy="0"/>
              <wp:effectExtent l="0" t="0" r="0" b="0"/>
              <wp:wrapNone/>
              <wp:docPr id="669933" name="Straight Connector 4"/>
              <wp:cNvGraphicFramePr/>
              <a:graphic xmlns:a="http://schemas.openxmlformats.org/drawingml/2006/main">
                <a:graphicData uri="http://schemas.microsoft.com/office/word/2010/wordprocessingShape">
                  <wps:wsp>
                    <wps:cNvCnPr/>
                    <wps:spPr>
                      <a:xfrm>
                        <a:off x="0" y="0"/>
                        <a:ext cx="5058000" cy="0"/>
                      </a:xfrm>
                      <a:prstGeom prst="line">
                        <a:avLst/>
                      </a:prstGeom>
                      <a:noFill/>
                      <a:ln w="25400" cap="flat" cmpd="sng" algn="ctr">
                        <a:solidFill>
                          <a:srgbClr val="4F81BD"/>
                        </a:solidFill>
                        <a:prstDash val="solid"/>
                        <a:miter lim="800000"/>
                      </a:ln>
                      <a:effectLst/>
                    </wps:spPr>
                    <wps:bodyPr/>
                  </wps:wsp>
                </a:graphicData>
              </a:graphic>
              <wp14:sizeRelH relativeFrom="margin">
                <wp14:pctWidth>0</wp14:pctWidth>
              </wp14:sizeRelH>
            </wp:anchor>
          </w:drawing>
        </mc:Choice>
        <mc:Fallback>
          <w:pict>
            <v:line w14:anchorId="6BEF9500" id="Straight Connector 4" o:spid="_x0000_s1026" style="position:absolute;z-index:25168076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25pt" to="398.2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" strokecolor="#4f81bd" strokeweight="2pt">
              <v:stroke joinstyle="miter"/>
              <w10:wrap anchorx="margin"/>
            </v:line>
          </w:pict>
        </mc:Fallback>
      </mc:AlternateContent>
    </w:r>
  </w:p>
  <w:p w14:paraId="5842BD1A" w14:textId="77777777" w:rsidR="00242469" w:rsidRPr="00D21949" w:rsidRDefault="00242469" w:rsidP="00242469">
    <w:pPr>
      <w:tabs>
        <w:tab w:val="center" w:pos="4252"/>
        <w:tab w:val="right" w:pos="8504"/>
      </w:tabs>
      <w:jc w:val="center"/>
      <w:rPr>
        <w:rFonts w:ascii="Garamond" w:eastAsia="MS Mincho" w:hAnsi="Garamond"/>
        <w:kern w:val="0"/>
        <w:sz w:val="20"/>
        <w:szCs w:val="20"/>
        <w:lang w:eastAsia="it-IT"/>
        <w14:ligatures w14:val="none"/>
      </w:rPr>
    </w:pPr>
    <w:r w:rsidRPr="00D21949">
      <w:rPr>
        <w:rFonts w:ascii="Garamond" w:eastAsia="MS Mincho" w:hAnsi="Garamond"/>
        <w:kern w:val="0"/>
        <w:sz w:val="20"/>
        <w:szCs w:val="20"/>
        <w:lang w:eastAsia="it-IT"/>
        <w14:ligatures w14:val="none"/>
      </w:rPr>
      <w:t>Vergentis. Revista de Investigación de la Cátedra Internacional Conjunta Inocencio III</w:t>
    </w:r>
  </w:p>
  <w:p w14:paraId="135D7BC5" w14:textId="77777777" w:rsidR="00242469" w:rsidRPr="00D21949" w:rsidRDefault="00242469" w:rsidP="00242469">
    <w:pPr>
      <w:tabs>
        <w:tab w:val="center" w:pos="4252"/>
        <w:tab w:val="right" w:pos="8504"/>
      </w:tabs>
      <w:jc w:val="center"/>
      <w:rPr>
        <w:rFonts w:ascii="Garamond" w:eastAsia="MS Mincho" w:hAnsi="Garamond"/>
        <w:kern w:val="0"/>
        <w:sz w:val="20"/>
        <w:szCs w:val="20"/>
        <w:lang w:eastAsia="it-IT"/>
        <w14:ligatures w14:val="none"/>
      </w:rPr>
    </w:pPr>
    <w:r w:rsidRPr="00D21949">
      <w:rPr>
        <w:rFonts w:ascii="Garamond" w:eastAsia="MS Mincho" w:hAnsi="Garamond"/>
        <w:kern w:val="0"/>
        <w:sz w:val="20"/>
        <w:szCs w:val="20"/>
        <w:lang w:eastAsia="it-IT"/>
        <w14:ligatures w14:val="none"/>
      </w:rPr>
      <w:t>Nº 21, julio-diciembre 2025, ISSN: 2445-2394, e-ISSN: 2605-3357</w:t>
    </w:r>
  </w:p>
  <w:p w14:paraId="0F81FDE8" w14:textId="1E384DAB" w:rsidR="002C4523" w:rsidRPr="00242469" w:rsidRDefault="002F423F" w:rsidP="00242469">
    <w:pPr>
      <w:tabs>
        <w:tab w:val="center" w:pos="4252"/>
        <w:tab w:val="right" w:pos="8504"/>
      </w:tabs>
      <w:jc w:val="center"/>
      <w:rPr>
        <w:rFonts w:ascii="Garamond" w:eastAsia="MS Mincho" w:hAnsi="Garamond"/>
        <w:kern w:val="0"/>
        <w:sz w:val="20"/>
        <w:szCs w:val="20"/>
        <w:lang w:eastAsia="it-IT"/>
        <w14:ligatures w14:val="none"/>
      </w:rPr>
    </w:pPr>
    <w:r w:rsidRPr="005E6F0F">
      <w:rPr>
        <w:rFonts w:ascii="Garamond" w:eastAsia="MS Mincho" w:hAnsi="Garamond"/>
        <w:smallCaps/>
        <w:kern w:val="0"/>
        <w:sz w:val="20"/>
        <w:szCs w:val="20"/>
        <w:lang w:eastAsia="it-IT"/>
        <w14:ligatures w14:val="none"/>
      </w:rPr>
      <w:t xml:space="preserve">Pelayo Jardón Pardo </w:t>
    </w:r>
    <w:r>
      <w:rPr>
        <w:rFonts w:ascii="Garamond" w:eastAsia="MS Mincho" w:hAnsi="Garamond"/>
        <w:smallCaps/>
        <w:kern w:val="0"/>
        <w:sz w:val="20"/>
        <w:szCs w:val="20"/>
        <w:lang w:eastAsia="it-IT"/>
        <w14:ligatures w14:val="none"/>
      </w:rPr>
      <w:t>d</w:t>
    </w:r>
    <w:r w:rsidRPr="005E6F0F">
      <w:rPr>
        <w:rFonts w:ascii="Garamond" w:eastAsia="MS Mincho" w:hAnsi="Garamond"/>
        <w:smallCaps/>
        <w:kern w:val="0"/>
        <w:sz w:val="20"/>
        <w:szCs w:val="20"/>
        <w:lang w:eastAsia="it-IT"/>
        <w14:ligatures w14:val="none"/>
      </w:rPr>
      <w:t>e Santayana</w:t>
    </w:r>
    <w:r w:rsidR="00242469" w:rsidRPr="00D21949">
      <w:rPr>
        <w:rFonts w:ascii="Garamond" w:eastAsia="MS Mincho" w:hAnsi="Garamond"/>
        <w:kern w:val="0"/>
        <w:sz w:val="20"/>
        <w:szCs w:val="20"/>
        <w:lang w:eastAsia="it-IT"/>
        <w14:ligatures w14:val="none"/>
      </w:rPr>
      <w:t xml:space="preserve">, pp. </w:t>
    </w:r>
    <w:r w:rsidR="0012677A">
      <w:rPr>
        <w:rFonts w:ascii="Garamond" w:eastAsia="MS Mincho" w:hAnsi="Garamond"/>
        <w:kern w:val="0"/>
        <w:sz w:val="20"/>
        <w:szCs w:val="20"/>
        <w:lang w:eastAsia="it-IT"/>
        <w14:ligatures w14:val="none"/>
      </w:rPr>
      <w:t>85-114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78AE8" w14:textId="77777777" w:rsidR="00A935AB" w:rsidRPr="00D21949" w:rsidRDefault="00A935AB" w:rsidP="00A935AB">
    <w:pPr>
      <w:tabs>
        <w:tab w:val="center" w:pos="4252"/>
        <w:tab w:val="right" w:pos="8504"/>
      </w:tabs>
      <w:jc w:val="center"/>
      <w:rPr>
        <w:rFonts w:ascii="Garamond" w:eastAsia="MS Mincho" w:hAnsi="Garamond"/>
        <w:kern w:val="0"/>
        <w:sz w:val="20"/>
        <w:szCs w:val="20"/>
        <w:lang w:eastAsia="it-IT"/>
        <w14:ligatures w14:val="none"/>
      </w:rPr>
    </w:pPr>
  </w:p>
  <w:p w14:paraId="72D89FF0" w14:textId="77777777" w:rsidR="00A935AB" w:rsidRPr="00D21949" w:rsidRDefault="00A935AB" w:rsidP="00A935AB">
    <w:pPr>
      <w:tabs>
        <w:tab w:val="center" w:pos="4252"/>
        <w:tab w:val="right" w:pos="8504"/>
      </w:tabs>
      <w:jc w:val="center"/>
      <w:rPr>
        <w:rFonts w:ascii="Garamond" w:eastAsia="MS Mincho" w:hAnsi="Garamond"/>
        <w:kern w:val="0"/>
        <w:sz w:val="20"/>
        <w:szCs w:val="20"/>
        <w:lang w:eastAsia="it-IT"/>
        <w14:ligatures w14:val="none"/>
      </w:rPr>
    </w:pPr>
  </w:p>
  <w:p w14:paraId="12E8D2EE" w14:textId="77777777" w:rsidR="00A935AB" w:rsidRPr="00D21949" w:rsidRDefault="00A935AB" w:rsidP="00A935AB">
    <w:pPr>
      <w:tabs>
        <w:tab w:val="center" w:pos="4252"/>
        <w:tab w:val="right" w:pos="8504"/>
      </w:tabs>
      <w:jc w:val="center"/>
      <w:rPr>
        <w:rFonts w:ascii="Garamond" w:eastAsia="MS Mincho" w:hAnsi="Garamond"/>
        <w:kern w:val="0"/>
        <w:sz w:val="20"/>
        <w:szCs w:val="20"/>
        <w:lang w:eastAsia="it-IT"/>
        <w14:ligatures w14:val="none"/>
      </w:rPr>
    </w:pPr>
    <w:r w:rsidRPr="00D21949">
      <w:rPr>
        <w:rFonts w:ascii="Calibri" w:eastAsia="MS Mincho" w:hAnsi="Calibri"/>
        <w:noProof/>
        <w:kern w:val="0"/>
        <w:lang w:eastAsia="es-ES"/>
        <w14:ligatures w14:val="none"/>
      </w:rPr>
      <mc:AlternateContent>
        <mc:Choice Requires="wps">
          <w:drawing>
            <wp:anchor distT="0" distB="0" distL="114300" distR="114300" simplePos="0" relativeHeight="251665408" behindDoc="0" locked="0" layoutInCell="1" allowOverlap="1" wp14:anchorId="30B8CAA0" wp14:editId="2D6F3165">
              <wp:simplePos x="0" y="0"/>
              <wp:positionH relativeFrom="margin">
                <wp:align>center</wp:align>
              </wp:positionH>
              <wp:positionV relativeFrom="paragraph">
                <wp:posOffset>79375</wp:posOffset>
              </wp:positionV>
              <wp:extent cx="50580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058000" cy="0"/>
                      </a:xfrm>
                      <a:prstGeom prst="line">
                        <a:avLst/>
                      </a:prstGeom>
                      <a:noFill/>
                      <a:ln w="25400" cap="flat" cmpd="sng" algn="ctr">
                        <a:solidFill>
                          <a:srgbClr val="4F81BD"/>
                        </a:solidFill>
                        <a:prstDash val="solid"/>
                        <a:miter lim="800000"/>
                      </a:ln>
                      <a:effectLst/>
                    </wps:spPr>
                    <wps:bodyPr/>
                  </wps:wsp>
                </a:graphicData>
              </a:graphic>
              <wp14:sizeRelH relativeFrom="margin">
                <wp14:pctWidth>0</wp14:pctWidth>
              </wp14:sizeRelH>
            </wp:anchor>
          </w:drawing>
        </mc:Choice>
        <mc:Fallback>
          <w:pict>
            <v:line w14:anchorId="03093B27" id="Straight Connector 4" o:spid="_x0000_s1026" style="position:absolute;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25pt" to="398.2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" strokecolor="#4f81bd" strokeweight="2pt">
              <v:stroke joinstyle="miter"/>
              <w10:wrap anchorx="margin"/>
            </v:line>
          </w:pict>
        </mc:Fallback>
      </mc:AlternateContent>
    </w:r>
  </w:p>
  <w:p w14:paraId="08F0B67A" w14:textId="77777777" w:rsidR="00A935AB" w:rsidRPr="00C122C8" w:rsidRDefault="00A935AB" w:rsidP="00A935AB">
    <w:pPr>
      <w:tabs>
        <w:tab w:val="center" w:pos="4252"/>
        <w:tab w:val="right" w:pos="8504"/>
      </w:tabs>
      <w:jc w:val="center"/>
      <w:rPr>
        <w:rFonts w:ascii="Garamond" w:eastAsia="MS Mincho" w:hAnsi="Garamond"/>
        <w:kern w:val="0"/>
        <w:sz w:val="20"/>
        <w:szCs w:val="20"/>
        <w:lang w:eastAsia="it-IT"/>
        <w14:ligatures w14:val="none"/>
      </w:rPr>
    </w:pPr>
    <w:r w:rsidRPr="00C122C8">
      <w:rPr>
        <w:rFonts w:ascii="Garamond" w:eastAsia="MS Mincho" w:hAnsi="Garamond"/>
        <w:kern w:val="0"/>
        <w:sz w:val="20"/>
        <w:szCs w:val="20"/>
        <w:lang w:eastAsia="it-IT"/>
        <w14:ligatures w14:val="none"/>
      </w:rPr>
      <w:t>Vergentis. Revista de Investigación de la Cátedra Internacional Conjunta Inocencio III</w:t>
    </w:r>
  </w:p>
  <w:p w14:paraId="15951AC6" w14:textId="2EE39B5D" w:rsidR="00A935AB" w:rsidRPr="00C122C8" w:rsidRDefault="00A935AB" w:rsidP="00A935AB">
    <w:pPr>
      <w:tabs>
        <w:tab w:val="center" w:pos="4252"/>
        <w:tab w:val="right" w:pos="8504"/>
      </w:tabs>
      <w:jc w:val="center"/>
      <w:rPr>
        <w:rFonts w:ascii="Garamond" w:eastAsia="MS Mincho" w:hAnsi="Garamond"/>
        <w:kern w:val="0"/>
        <w:sz w:val="20"/>
        <w:szCs w:val="20"/>
        <w:lang w:eastAsia="it-IT"/>
        <w14:ligatures w14:val="none"/>
      </w:rPr>
    </w:pPr>
    <w:r w:rsidRPr="00C122C8">
      <w:rPr>
        <w:rFonts w:ascii="Garamond" w:eastAsia="MS Mincho" w:hAnsi="Garamond"/>
        <w:kern w:val="0"/>
        <w:sz w:val="20"/>
        <w:szCs w:val="20"/>
        <w:lang w:eastAsia="it-IT"/>
        <w14:ligatures w14:val="none"/>
      </w:rPr>
      <w:t>Nº 2</w:t>
    </w:r>
    <w:r w:rsidR="00855689" w:rsidRPr="00C122C8">
      <w:rPr>
        <w:rFonts w:ascii="Garamond" w:eastAsia="MS Mincho" w:hAnsi="Garamond"/>
        <w:kern w:val="0"/>
        <w:sz w:val="20"/>
        <w:szCs w:val="20"/>
        <w:lang w:eastAsia="it-IT"/>
        <w14:ligatures w14:val="none"/>
      </w:rPr>
      <w:t>1</w:t>
    </w:r>
    <w:r w:rsidRPr="00C122C8">
      <w:rPr>
        <w:rFonts w:ascii="Garamond" w:eastAsia="MS Mincho" w:hAnsi="Garamond"/>
        <w:kern w:val="0"/>
        <w:sz w:val="20"/>
        <w:szCs w:val="20"/>
        <w:lang w:eastAsia="it-IT"/>
        <w14:ligatures w14:val="none"/>
      </w:rPr>
      <w:t>,</w:t>
    </w:r>
    <w:r w:rsidR="00855689" w:rsidRPr="00C122C8">
      <w:rPr>
        <w:rFonts w:ascii="Garamond" w:eastAsia="MS Mincho" w:hAnsi="Garamond"/>
        <w:kern w:val="0"/>
        <w:sz w:val="20"/>
        <w:szCs w:val="20"/>
        <w:lang w:eastAsia="it-IT"/>
        <w14:ligatures w14:val="none"/>
      </w:rPr>
      <w:t xml:space="preserve"> julio-</w:t>
    </w:r>
    <w:r w:rsidR="00C03125" w:rsidRPr="00C122C8">
      <w:rPr>
        <w:rFonts w:ascii="Garamond" w:eastAsia="MS Mincho" w:hAnsi="Garamond"/>
        <w:kern w:val="0"/>
        <w:sz w:val="20"/>
        <w:szCs w:val="20"/>
        <w:lang w:eastAsia="it-IT"/>
        <w14:ligatures w14:val="none"/>
      </w:rPr>
      <w:t>diciembre</w:t>
    </w:r>
    <w:r w:rsidRPr="00C122C8">
      <w:rPr>
        <w:rFonts w:ascii="Garamond" w:eastAsia="MS Mincho" w:hAnsi="Garamond"/>
        <w:kern w:val="0"/>
        <w:sz w:val="20"/>
        <w:szCs w:val="20"/>
        <w:lang w:eastAsia="it-IT"/>
        <w14:ligatures w14:val="none"/>
      </w:rPr>
      <w:t xml:space="preserve"> 2025, ISSN: 2445-2394, e-ISSN: 2605-3357</w:t>
    </w:r>
  </w:p>
  <w:p w14:paraId="0732F256" w14:textId="052B18E8" w:rsidR="00A935AB" w:rsidRPr="00D21949" w:rsidRDefault="005E6F0F" w:rsidP="00A935AB">
    <w:pPr>
      <w:tabs>
        <w:tab w:val="center" w:pos="4252"/>
        <w:tab w:val="right" w:pos="8504"/>
      </w:tabs>
      <w:jc w:val="center"/>
      <w:rPr>
        <w:rFonts w:ascii="Garamond" w:eastAsia="MS Mincho" w:hAnsi="Garamond"/>
        <w:kern w:val="0"/>
        <w:sz w:val="20"/>
        <w:szCs w:val="20"/>
        <w:lang w:eastAsia="it-IT"/>
        <w14:ligatures w14:val="none"/>
      </w:rPr>
    </w:pPr>
    <w:r w:rsidRPr="00C122C8">
      <w:rPr>
        <w:rFonts w:ascii="Garamond" w:eastAsia="MS Mincho" w:hAnsi="Garamond"/>
        <w:smallCaps/>
        <w:kern w:val="0"/>
        <w:sz w:val="20"/>
        <w:szCs w:val="20"/>
        <w:lang w:eastAsia="it-IT"/>
        <w14:ligatures w14:val="none"/>
      </w:rPr>
      <w:t>Pelayo Jardón Pardo de Santayana</w:t>
    </w:r>
    <w:r w:rsidR="00A935AB" w:rsidRPr="00C122C8">
      <w:rPr>
        <w:rFonts w:ascii="Garamond" w:eastAsia="MS Mincho" w:hAnsi="Garamond"/>
        <w:kern w:val="0"/>
        <w:sz w:val="20"/>
        <w:szCs w:val="20"/>
        <w:lang w:eastAsia="it-IT"/>
        <w14:ligatures w14:val="none"/>
      </w:rPr>
      <w:t>, pp.</w:t>
    </w:r>
    <w:r w:rsidR="00C122C8" w:rsidRPr="00C122C8">
      <w:rPr>
        <w:rFonts w:ascii="Garamond" w:eastAsia="MS Mincho" w:hAnsi="Garamond"/>
        <w:kern w:val="0"/>
        <w:sz w:val="20"/>
        <w:szCs w:val="20"/>
        <w:lang w:eastAsia="it-IT"/>
        <w14:ligatures w14:val="none"/>
      </w:rPr>
      <w:t xml:space="preserve"> 85-114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D498A" w14:textId="77777777" w:rsidR="005821C8" w:rsidRPr="00D21949" w:rsidRDefault="005821C8" w:rsidP="00FB2099">
      <w:r w:rsidRPr="00D21949">
        <w:separator/>
      </w:r>
    </w:p>
  </w:footnote>
  <w:footnote w:type="continuationSeparator" w:id="0">
    <w:p w14:paraId="01904933" w14:textId="77777777" w:rsidR="005821C8" w:rsidRPr="00D21949" w:rsidRDefault="005821C8" w:rsidP="00FB2099">
      <w:r w:rsidRPr="00D21949">
        <w:continuationSeparator/>
      </w:r>
    </w:p>
  </w:footnote>
  <w:footnote w:id="1">
    <w:p w14:paraId="12DEF66D" w14:textId="77777777" w:rsidR="0033671B" w:rsidRPr="00154346" w:rsidRDefault="0033671B" w:rsidP="00154346">
      <w:pPr>
        <w:pStyle w:val="Testonotaapidipagina"/>
        <w:jc w:val="both"/>
      </w:pPr>
      <w:r w:rsidRPr="00154346">
        <w:rPr>
          <w:rStyle w:val="Rimandonotaapidipagina"/>
          <w:rFonts w:eastAsiaTheme="majorEastAsia"/>
        </w:rPr>
        <w:footnoteRef/>
      </w:r>
      <w:r w:rsidRPr="00154346">
        <w:t xml:space="preserve"> La publicación de este artículo es parte de la ayuda PID2023-147932OB-I00: HERRAMIENTAS PARA EL EJERCICIO DE LOS DERECHOS LABORALES DE MUJERES EN RIESGO DE EXCLUSION, financiado por MCIU/AEI/10.13039/501100011033 y por FEDER, UE.</w:t>
      </w:r>
    </w:p>
  </w:footnote>
  <w:footnote w:id="2">
    <w:p w14:paraId="0EA081E7" w14:textId="77777777" w:rsidR="0033671B" w:rsidRPr="00154346" w:rsidRDefault="0033671B" w:rsidP="00154346">
      <w:pPr>
        <w:pStyle w:val="Testonotaapidipagina"/>
        <w:jc w:val="both"/>
      </w:pPr>
      <w:r w:rsidRPr="00154346">
        <w:rPr>
          <w:rStyle w:val="Rimandonotaapidipagina"/>
          <w:rFonts w:eastAsiaTheme="majorEastAsia"/>
        </w:rPr>
        <w:footnoteRef/>
      </w:r>
      <w:r w:rsidRPr="00154346">
        <w:t xml:space="preserve"> Según esta fuente, trece mujeres y niñas fueron víctimas de este delito o estuvieron en riesgo de serlo entre los años de 2015 y 2024 (</w:t>
      </w:r>
      <w:r w:rsidRPr="00154346">
        <w:rPr>
          <w:smallCaps/>
        </w:rPr>
        <w:t>Araque Conde, P.</w:t>
      </w:r>
      <w:r w:rsidRPr="00154346">
        <w:t xml:space="preserve">, “Es un fenómeno marginal y excepcional”: España detecta 13 casos de mutilación genital femenina en la última década”, en </w:t>
      </w:r>
      <w:r w:rsidRPr="00154346">
        <w:rPr>
          <w:i/>
        </w:rPr>
        <w:t>Infobae</w:t>
      </w:r>
      <w:r w:rsidRPr="00154346">
        <w:t>, 9 de junio de 2025).</w:t>
      </w:r>
    </w:p>
  </w:footnote>
  <w:footnote w:id="3">
    <w:p w14:paraId="3EA42747" w14:textId="21589C3A" w:rsidR="0033671B" w:rsidRPr="00154346" w:rsidRDefault="0033671B" w:rsidP="00154346">
      <w:pPr>
        <w:pStyle w:val="Testonotaapidipagina"/>
        <w:jc w:val="both"/>
      </w:pPr>
      <w:r w:rsidRPr="00154346">
        <w:rPr>
          <w:rStyle w:val="Rimandonotaapidipagina"/>
          <w:rFonts w:eastAsiaTheme="majorEastAsia"/>
        </w:rPr>
        <w:footnoteRef/>
      </w:r>
      <w:r w:rsidRPr="00154346">
        <w:t xml:space="preserve"> </w:t>
      </w:r>
      <w:r w:rsidR="003903E5">
        <w:t>F</w:t>
      </w:r>
      <w:r w:rsidR="003903E5" w:rsidRPr="003903E5">
        <w:rPr>
          <w:smallCaps/>
        </w:rPr>
        <w:t xml:space="preserve">amme, </w:t>
      </w:r>
      <w:r w:rsidR="003903E5">
        <w:t>«Mientras España endurece las penas contra la Mutilación genital femenina, en Canarias se detecta un repunte alarmante de 72 casos»,</w:t>
      </w:r>
      <w:r w:rsidR="00120896">
        <w:t xml:space="preserve"> en </w:t>
      </w:r>
      <w:r w:rsidR="003903E5">
        <w:rPr>
          <w:i/>
          <w:iCs/>
        </w:rPr>
        <w:t>MedicusMundi</w:t>
      </w:r>
      <w:r w:rsidR="003903E5">
        <w:t xml:space="preserve"> (6 de febrero de 2025). En el mismo sentido: «“Alarmante” repunte de mutilación genital femenina en Canarias, con 74 casos detectados en 2024»,</w:t>
      </w:r>
      <w:r w:rsidR="00120896">
        <w:t xml:space="preserve"> en </w:t>
      </w:r>
      <w:r w:rsidR="003903E5">
        <w:rPr>
          <w:i/>
          <w:iCs/>
        </w:rPr>
        <w:t>Servimedia</w:t>
      </w:r>
      <w:r w:rsidR="003903E5">
        <w:t xml:space="preserve"> (4 de febrero de 2025)</w:t>
      </w:r>
      <w:r w:rsidRPr="00154346">
        <w:t>.</w:t>
      </w:r>
    </w:p>
  </w:footnote>
  <w:footnote w:id="4">
    <w:p w14:paraId="68F218F2" w14:textId="61FC06BB" w:rsidR="0033671B" w:rsidRPr="00154346" w:rsidRDefault="0033671B" w:rsidP="00154346">
      <w:pPr>
        <w:pStyle w:val="Testonotaapidipagina"/>
        <w:jc w:val="both"/>
      </w:pPr>
      <w:r w:rsidRPr="00154346">
        <w:rPr>
          <w:rStyle w:val="Rimandonotaapidipagina"/>
          <w:rFonts w:eastAsiaTheme="majorEastAsia"/>
        </w:rPr>
        <w:footnoteRef/>
      </w:r>
      <w:r w:rsidRPr="00154346">
        <w:rPr>
          <w:lang w:val="en-GB"/>
        </w:rPr>
        <w:t xml:space="preserve"> </w:t>
      </w:r>
      <w:r w:rsidR="006431BB" w:rsidRPr="00FA6D5E">
        <w:rPr>
          <w:lang w:val="en-GB"/>
        </w:rPr>
        <w:t>CEDAW (</w:t>
      </w:r>
      <w:r w:rsidR="006431BB" w:rsidRPr="00FA6D5E">
        <w:rPr>
          <w:i/>
          <w:iCs/>
          <w:lang w:val="en-GB"/>
        </w:rPr>
        <w:t>Convention on the Elimination of All Forms of Discrimination against Women</w:t>
      </w:r>
      <w:r w:rsidR="006431BB" w:rsidRPr="00FA6D5E">
        <w:rPr>
          <w:lang w:val="en-GB"/>
        </w:rPr>
        <w:t xml:space="preserve">). </w:t>
      </w:r>
      <w:r w:rsidR="006431BB">
        <w:t>Art. 5: «Los Estados Partes tomarán todas las medidas apropiadas para: a) Modificar los patrones socioculturales de conducta de hombres y mujeres, con miras a alcanzar la eliminación de los prejuicios y las prácticas consuetudinarias y de cualquier otra índole que estén basados en la idea de la inferioridad o superioridad de cualquiera de los sexos o en funciones estereotipadas de hombres y mujeres»</w:t>
      </w:r>
      <w:r w:rsidRPr="00154346">
        <w:t>.</w:t>
      </w:r>
    </w:p>
  </w:footnote>
  <w:footnote w:id="5">
    <w:p w14:paraId="2AB3E68A" w14:textId="7FCE8C61" w:rsidR="0033671B" w:rsidRPr="00154346" w:rsidRDefault="0033671B" w:rsidP="00154346">
      <w:pPr>
        <w:pStyle w:val="Testonotaapidipagina"/>
        <w:jc w:val="both"/>
      </w:pPr>
      <w:r w:rsidRPr="00154346">
        <w:rPr>
          <w:rStyle w:val="Rimandonotaapidipagina"/>
          <w:rFonts w:eastAsiaTheme="majorEastAsia"/>
        </w:rPr>
        <w:footnoteRef/>
      </w:r>
      <w:r w:rsidRPr="00154346">
        <w:t xml:space="preserve"> Declaración de las Naciones Unidas sobre la eliminación de todas las formas de intolerancia y discriminación fundadas en la religión o las convicciones. Art.1</w:t>
      </w:r>
      <w:r w:rsidR="006431BB">
        <w:t>:</w:t>
      </w:r>
      <w:r w:rsidRPr="00154346">
        <w:t xml:space="preserve"> </w:t>
      </w:r>
      <w:r w:rsidR="006431BB" w:rsidRPr="006431BB">
        <w:t>«</w:t>
      </w:r>
      <w:r w:rsidRPr="00154346">
        <w:t>1. Toda persona tiene derecho a la libertad de pensamiento, de conciencia y de religión. Este derecho incluye la libertad de tener una religión o cualesquiera convicciones de su elección, así como la libertad de manifestar su religión o sus convicciones individual o colectivamente, tanto en público como en privado, mediante el culto, la observancia, la práctica y la enseñanza. […]</w:t>
      </w:r>
      <w:r w:rsidR="006431BB" w:rsidRPr="006431BB">
        <w:t>»</w:t>
      </w:r>
      <w:r w:rsidR="006431BB">
        <w:t>.</w:t>
      </w:r>
      <w:r w:rsidRPr="00154346">
        <w:t xml:space="preserve"> Art.3</w:t>
      </w:r>
      <w:r w:rsidR="006431BB">
        <w:t>:</w:t>
      </w:r>
      <w:r w:rsidRPr="00154346">
        <w:t xml:space="preserve"> </w:t>
      </w:r>
      <w:r w:rsidR="006431BB" w:rsidRPr="006431BB">
        <w:t>«</w:t>
      </w:r>
      <w:r w:rsidRPr="00154346">
        <w:t>La discriminación entre los seres humanos por motivos de religión o convicciones constituye una ofensa a la dignidad humana y una negación de los principios de la Carta de las Naciones Unidas, y debe ser condenada como una violación de los derechos humanos y las libertades fundamentales proclamados en la Declaración Universal de Derechos Humanos y enunciados detalladamente en los Pactos internacionales de derechos humanos, y como un obstáculo para las relaciones amistosas y pacíficas entre las naciones</w:t>
      </w:r>
      <w:r w:rsidR="006431BB" w:rsidRPr="006431BB">
        <w:t>»</w:t>
      </w:r>
      <w:r w:rsidRPr="00154346">
        <w:t>. Art.6</w:t>
      </w:r>
      <w:r w:rsidR="006431BB">
        <w:t>:</w:t>
      </w:r>
      <w:r w:rsidRPr="00154346">
        <w:t xml:space="preserve"> </w:t>
      </w:r>
      <w:r w:rsidR="006431BB" w:rsidRPr="006431BB">
        <w:t>«</w:t>
      </w:r>
      <w:r w:rsidRPr="00154346">
        <w:t>De conformidad con el artículo 1 de la presente Declaración y sin perjuicio de lo dispuesto en el párrafo 3 del artículo 1, el derecho a la libertad de pensamiento, de conciencia, de religión o de convicciones comprenderá, en particular, las libertades siguientes: a) La de practicar el culto o de celebrar reuniones en relación con la religión o las convicciones, y de fundar y mantener lugares para esos fines; […]</w:t>
      </w:r>
      <w:r w:rsidR="006431BB" w:rsidRPr="006431BB">
        <w:t>»</w:t>
      </w:r>
      <w:r w:rsidR="006431BB">
        <w:t>.</w:t>
      </w:r>
    </w:p>
  </w:footnote>
  <w:footnote w:id="6">
    <w:p w14:paraId="52A001D1" w14:textId="3333A712" w:rsidR="0033671B" w:rsidRPr="00154346" w:rsidRDefault="0033671B" w:rsidP="00154346">
      <w:pPr>
        <w:pStyle w:val="Testonotaapidipagina"/>
        <w:jc w:val="both"/>
      </w:pPr>
      <w:r w:rsidRPr="00154346">
        <w:rPr>
          <w:rStyle w:val="Rimandonotaapidipagina"/>
          <w:rFonts w:eastAsiaTheme="majorEastAsia"/>
        </w:rPr>
        <w:footnoteRef/>
      </w:r>
      <w:r w:rsidRPr="00154346">
        <w:t xml:space="preserve"> </w:t>
      </w:r>
      <w:r w:rsidR="00D03686" w:rsidRPr="00D03686">
        <w:t>Declaración de las Naciones Unidas sobre la eliminación de todas las formas de intolerancia y discriminación fundadas en la religión o las convicciones, cit. Art. 8: «Nada de lo dispuesto en la presente Declaración se entenderá en el sentido de que restrinja o derogue ninguno de los derechos definidos en la Declaración Universal de Derechos Humanos y en los Pactos internacionales de derechos humanos»</w:t>
      </w:r>
      <w:r w:rsidRPr="00154346">
        <w:t>.</w:t>
      </w:r>
    </w:p>
  </w:footnote>
  <w:footnote w:id="7">
    <w:p w14:paraId="5F7285EA" w14:textId="126B7E70" w:rsidR="0033671B" w:rsidRPr="00154346" w:rsidRDefault="0033671B" w:rsidP="00154346">
      <w:pPr>
        <w:pStyle w:val="Testonotaapidipagina"/>
        <w:jc w:val="both"/>
      </w:pPr>
      <w:r w:rsidRPr="00154346">
        <w:rPr>
          <w:rStyle w:val="Rimandonotaapidipagina"/>
          <w:rFonts w:eastAsiaTheme="majorEastAsia"/>
        </w:rPr>
        <w:footnoteRef/>
      </w:r>
      <w:r w:rsidRPr="00154346">
        <w:t xml:space="preserve"> </w:t>
      </w:r>
      <w:r w:rsidR="00D03686" w:rsidRPr="00D03686">
        <w:t>Art. 10 CE: «1. La dignidad de la persona, los derechos inviolables que le son inherentes, el libre desarrollo de la personalidad, el respeto a la ley y a los derechos de los demás son fundamento del orden político y de la paz social. 2. Las normas relativas a los derechos fundamentales y a las libertades que la Constitución reconoce se interpretarán de conformidad con la Declaración Universal de Derechos Humanos y los tratados y acuerdos internacionales sobre las mismas materias ratificados por España»</w:t>
      </w:r>
      <w:r w:rsidRPr="00154346">
        <w:t>.</w:t>
      </w:r>
    </w:p>
  </w:footnote>
  <w:footnote w:id="8">
    <w:p w14:paraId="47885DCA" w14:textId="724994C8" w:rsidR="0033671B" w:rsidRPr="00154346" w:rsidRDefault="0033671B" w:rsidP="00154346">
      <w:pPr>
        <w:pStyle w:val="Testonotaapidipagina"/>
        <w:jc w:val="both"/>
      </w:pPr>
      <w:r w:rsidRPr="00154346">
        <w:rPr>
          <w:rStyle w:val="Rimandonotaapidipagina"/>
          <w:rFonts w:eastAsiaTheme="majorEastAsia"/>
        </w:rPr>
        <w:footnoteRef/>
      </w:r>
      <w:r w:rsidRPr="00154346">
        <w:t xml:space="preserve"> </w:t>
      </w:r>
      <w:r w:rsidR="00D03686" w:rsidRPr="00D03686">
        <w:t>Art. 15 CE: «Todos tienen derecho a la vida y a la integridad física y moral, sin que, en ningún caso, puedan ser sometidos a tortura ni a penas o tratos inhumanos o degradantes»</w:t>
      </w:r>
      <w:r w:rsidRPr="00154346">
        <w:t>.</w:t>
      </w:r>
    </w:p>
  </w:footnote>
  <w:footnote w:id="9">
    <w:p w14:paraId="5582EAEB" w14:textId="36D81DAA" w:rsidR="0033671B" w:rsidRPr="00154346" w:rsidRDefault="0033671B" w:rsidP="00154346">
      <w:pPr>
        <w:pStyle w:val="Testonotaapidipagina"/>
        <w:jc w:val="both"/>
      </w:pPr>
      <w:r w:rsidRPr="00154346">
        <w:rPr>
          <w:rStyle w:val="Rimandonotaapidipagina"/>
          <w:rFonts w:eastAsiaTheme="majorEastAsia"/>
        </w:rPr>
        <w:footnoteRef/>
      </w:r>
      <w:r w:rsidRPr="00154346">
        <w:t xml:space="preserve"> </w:t>
      </w:r>
      <w:r w:rsidR="00D03686" w:rsidRPr="00D03686">
        <w:t>Ley Orgánica 4/2000, de 11 de enero, sobre derechos y libertades de los extranjeros en España y su integración social. Art. 3. Derechos de los extranjeros e interpretación de las normas: «[…] 2. Las normas relativas a los derechos fundamentales de los extranjeros serán interpretadas de conformidad con la Declaración Universal de Derechos Humanos y con los tratados y acuerdos internacionales sobre las mismas materias vigentes en España, sin que pueda alegarse la profesión de creencias religiosas o convicciones ideológicas o culturales de signo diverso para justify la realización de actos o conductas contrarios a las mismas»</w:t>
      </w:r>
      <w:r w:rsidRPr="00154346">
        <w:t>.</w:t>
      </w:r>
    </w:p>
  </w:footnote>
  <w:footnote w:id="10">
    <w:p w14:paraId="1A7B1FBA" w14:textId="32DD5888" w:rsidR="0033671B" w:rsidRPr="00154346" w:rsidRDefault="0033671B" w:rsidP="00154346">
      <w:pPr>
        <w:pStyle w:val="Testonotaapidipagina"/>
        <w:jc w:val="both"/>
      </w:pPr>
      <w:r w:rsidRPr="00154346">
        <w:rPr>
          <w:rStyle w:val="Rimandonotaapidipagina"/>
          <w:rFonts w:eastAsiaTheme="majorEastAsia"/>
        </w:rPr>
        <w:footnoteRef/>
      </w:r>
      <w:r w:rsidRPr="00154346">
        <w:t xml:space="preserve"> </w:t>
      </w:r>
      <w:r w:rsidR="00D03686" w:rsidRPr="00D03686">
        <w:t>Ley Orgánica 11/2003, de 29 de septiembre, de medidas concretas en materia de seguridad ciudadana, violencia doméstica e integración social de los extranjeros. Artículo primero. Modificación de la Ley Orgánica 10/1995, de 23 de noviembre, del Código Penal: «[…] Seis. Se modifica el artículo 149, que queda redactado como sigue: "Artículo 149. […] 2. El que causara a otro una mutilación genital en cualquiera de sus manifestaciones será castigado con la pena de prisión de seis a 12 años. Si la víctima fuera menor o incapaz, será aplicable la pena de inhabilitación especial para el ejercicio de la patria potestad, tutela, curatela, guarda o acogimiento por tiempo de cuatro a 10 años, si el juez lo estima adecuado al interés del menor o incapaz"»</w:t>
      </w:r>
      <w:r w:rsidR="00D03686">
        <w:t>.</w:t>
      </w:r>
    </w:p>
  </w:footnote>
  <w:footnote w:id="11">
    <w:p w14:paraId="007CDAB2" w14:textId="162E21A6" w:rsidR="0033671B" w:rsidRPr="00154346" w:rsidRDefault="0033671B" w:rsidP="00154346">
      <w:pPr>
        <w:pStyle w:val="Testonotaapidipagina"/>
        <w:jc w:val="both"/>
      </w:pPr>
      <w:r w:rsidRPr="00154346">
        <w:rPr>
          <w:rStyle w:val="Rimandonotaapidipagina"/>
          <w:rFonts w:eastAsiaTheme="majorEastAsia"/>
        </w:rPr>
        <w:footnoteRef/>
      </w:r>
      <w:r w:rsidRPr="00154346">
        <w:t xml:space="preserve"> </w:t>
      </w:r>
      <w:r w:rsidR="00D03686" w:rsidRPr="00D03686">
        <w:t>Ley Orgánica 3/2005, de 8 de julio, de modificación de la Ley Orgánica 6/1985, de 1 de julio, del Poder Judicial, para perseguir extraterritorialmente la práctica de la mutilación genital femenina. Art. 23.4 LOPJ: «Igualmente será competente la jurisdicción española para conocer de los hechos cometidos por españoles o extranjeros fuera del territorio nacional susceptibles de tipificarse, según la ley penal española, como alguno de los siguientes delitos: […] g) Los relativos a la mutilación genital femenina, siempre que los responsables se encuentren en España»</w:t>
      </w:r>
    </w:p>
  </w:footnote>
  <w:footnote w:id="12">
    <w:p w14:paraId="50DE9403" w14:textId="5E1EDF3A" w:rsidR="0033671B" w:rsidRPr="00154346" w:rsidRDefault="0033671B" w:rsidP="00154346">
      <w:pPr>
        <w:pStyle w:val="Testonotaapidipagina"/>
        <w:jc w:val="both"/>
      </w:pPr>
      <w:r w:rsidRPr="00154346">
        <w:rPr>
          <w:rStyle w:val="Rimandonotaapidipagina"/>
          <w:rFonts w:eastAsiaTheme="majorEastAsia"/>
        </w:rPr>
        <w:footnoteRef/>
      </w:r>
      <w:r w:rsidRPr="00154346">
        <w:t xml:space="preserve"> </w:t>
      </w:r>
      <w:r w:rsidR="00D03686" w:rsidRPr="00D03686">
        <w:t>Art. 3 CEDH: «Nadie podrá ser sometido a tortura ni a penas o tratos inhumanos o degradantes»</w:t>
      </w:r>
      <w:r w:rsidRPr="00154346">
        <w:t>.</w:t>
      </w:r>
    </w:p>
  </w:footnote>
  <w:footnote w:id="13">
    <w:p w14:paraId="05E11D86" w14:textId="030E2303" w:rsidR="0033671B" w:rsidRPr="00154346" w:rsidRDefault="0033671B" w:rsidP="00154346">
      <w:pPr>
        <w:pStyle w:val="Testonotaapidipagina"/>
        <w:jc w:val="both"/>
      </w:pPr>
      <w:r w:rsidRPr="00154346">
        <w:rPr>
          <w:rStyle w:val="Rimandonotaapidipagina"/>
          <w:rFonts w:eastAsiaTheme="majorEastAsia"/>
        </w:rPr>
        <w:footnoteRef/>
      </w:r>
      <w:r w:rsidRPr="00154346">
        <w:t xml:space="preserve"> </w:t>
      </w:r>
      <w:r w:rsidR="00D03686" w:rsidRPr="00D03686">
        <w:t>Art. 2 CEDAW: «Los Estados Partes condenan la discriminación contra la mujer en todas sus formas; convienen en seguir, por todos los medios apropiados y sin dilaciones, una política encaminada a eliminar la discriminación contra la mujer y, con tal objeto, se comprometen a: […] f) Adoptar todas las medidas adecuadas, incluso de carácter legislativo, para modificar o derogar Leyes, Reglamentos, usos y prácticas que constituyan discriminación contra la mujer»</w:t>
      </w:r>
      <w:r w:rsidRPr="00154346">
        <w:t>.</w:t>
      </w:r>
    </w:p>
  </w:footnote>
  <w:footnote w:id="14">
    <w:p w14:paraId="283641DF" w14:textId="3744307A" w:rsidR="0033671B" w:rsidRPr="00154346" w:rsidRDefault="0033671B" w:rsidP="00154346">
      <w:pPr>
        <w:pStyle w:val="Testonotaapidipagina"/>
        <w:jc w:val="both"/>
      </w:pPr>
      <w:r w:rsidRPr="00154346">
        <w:rPr>
          <w:rStyle w:val="Rimandonotaapidipagina"/>
          <w:rFonts w:eastAsiaTheme="majorEastAsia"/>
        </w:rPr>
        <w:footnoteRef/>
      </w:r>
      <w:r w:rsidRPr="00154346">
        <w:t xml:space="preserve"> </w:t>
      </w:r>
      <w:r w:rsidR="00D03686" w:rsidRPr="00D03686">
        <w:t>Convenio del Consejo de Europa sobre prevención y lucha contra la violencia contra las mujeres y la violencia doméstica (Convenio de Estambul). Art. 2: «Las Partes condenan todas las formas de discriminación contra las mujeres y tomarán, sin demora, las medidas legislativas y de otro tipo para prevenirla»</w:t>
      </w:r>
      <w:r w:rsidR="00D03686">
        <w:t>.</w:t>
      </w:r>
    </w:p>
  </w:footnote>
  <w:footnote w:id="15">
    <w:p w14:paraId="4489D796" w14:textId="4FCC3652" w:rsidR="0033671B" w:rsidRPr="00154346" w:rsidRDefault="0033671B" w:rsidP="00154346">
      <w:pPr>
        <w:pStyle w:val="Testonotaapidipagina"/>
        <w:jc w:val="both"/>
      </w:pPr>
      <w:r w:rsidRPr="00154346">
        <w:rPr>
          <w:rStyle w:val="Rimandonotaapidipagina"/>
          <w:rFonts w:eastAsiaTheme="majorEastAsia"/>
        </w:rPr>
        <w:footnoteRef/>
      </w:r>
      <w:r w:rsidRPr="00154346">
        <w:t xml:space="preserve"> </w:t>
      </w:r>
      <w:r w:rsidR="00D03686" w:rsidRPr="00D03686">
        <w:t>Art. 3 Convenio de Estambul: «A los efectos del presente Convenio: a) Por «violencia contra la mujer» se deberá entender una violación de los derechos humanos y una forma de discriminación contra las mujeres, y se designarán todos los actos de violencia basados en el género que implican o pueden implicar para las mujeres daños o sufrimientos de naturaleza física, sexual, psicológica o económica, incluidas las amenazas de realizar dichos actos, la coacción o la privación arbitraria de libertad, en la vida pública o privada; […]»</w:t>
      </w:r>
      <w:r w:rsidR="00D03686">
        <w:t>.</w:t>
      </w:r>
    </w:p>
  </w:footnote>
  <w:footnote w:id="16">
    <w:p w14:paraId="77206B95" w14:textId="7454FE68" w:rsidR="0033671B" w:rsidRPr="00154346" w:rsidRDefault="0033671B" w:rsidP="00154346">
      <w:pPr>
        <w:pStyle w:val="Testonotaapidipagina"/>
        <w:jc w:val="both"/>
      </w:pPr>
      <w:r w:rsidRPr="00154346">
        <w:rPr>
          <w:rStyle w:val="Rimandonotaapidipagina"/>
          <w:rFonts w:eastAsiaTheme="majorEastAsia"/>
        </w:rPr>
        <w:footnoteRef/>
      </w:r>
      <w:r w:rsidRPr="00154346">
        <w:t xml:space="preserve"> </w:t>
      </w:r>
      <w:r w:rsidR="00D03686" w:rsidRPr="00D03686">
        <w:t>Art. 38 Convenio de Estambul. Mutilaciones genitales femeninas: «Las Partes adoptarán las medidas legislativas o de otro tipo necesarias para tipificar como delito, cuando se cometa de modo intencionado: a) La escisión, infibulación o cualquier otra mutilación de la totalidad o parte de los labios mayores, labios menores o clítoris de una mujer; b) El hecho de obligar a una mujer a someterse a cualquiera de los actos enumerados en el punto a) o de proporcionarle los medios para dicho fin; c) El hecho de incitar u obligar a una niña a someterse a cualquiera de los actos enumerados en el punto a) o de proporcionarle los medios para dicho fin»</w:t>
      </w:r>
      <w:r w:rsidRPr="00154346">
        <w:t>.</w:t>
      </w:r>
    </w:p>
  </w:footnote>
  <w:footnote w:id="17">
    <w:p w14:paraId="31CC2805" w14:textId="533E5114" w:rsidR="0033671B" w:rsidRPr="00154346" w:rsidRDefault="0033671B" w:rsidP="00154346">
      <w:pPr>
        <w:pStyle w:val="Testonotaapidipagina"/>
        <w:jc w:val="both"/>
      </w:pPr>
      <w:r w:rsidRPr="00154346">
        <w:rPr>
          <w:rStyle w:val="Rimandonotaapidipagina"/>
          <w:rFonts w:eastAsiaTheme="majorEastAsia"/>
        </w:rPr>
        <w:footnoteRef/>
      </w:r>
      <w:r w:rsidRPr="00154346">
        <w:t xml:space="preserve"> </w:t>
      </w:r>
      <w:r w:rsidR="00D03686" w:rsidRPr="00D03686">
        <w:t>Ley Orgánica 1/2014, de 13 de marzo, de modificación de la Ley Orgánica 6/1985, de 1 de julio, del Poder Judicial, relativa a la justicia universal. Art. 23.4 LOPJ: «Igualmente, será competente la jurisdicción española para conocer de los hechos cometidos por españoles o extranjeros fuera del territorio nacional susceptibles de tipificarse, según la ley española, como alguno de los siguientes delitos cuando se cumplan las condiciones expresadas: […] l) Delitos regulados en el Convenio del Consejo de Europa de 11 de mayo de 2011 sobre prevención y lucha contra la violencia contra las mujeres y la violencia doméstica, siempre que: 1.º el procedimiento se dirija contra un español; 2.º el procedimiento se dirija contra un extranjero que resida habitualmente en España; o, 3.º el delito se hubiera cometido contra una víctima que, en el momento de comisión de los hechos, tuviera nacionalidad española o residencia habitual en España, siempre que la persona a la que se impute la comisión del hecho delictivo se encuentre en España»</w:t>
      </w:r>
      <w:r w:rsidRPr="00154346">
        <w:t>.</w:t>
      </w:r>
    </w:p>
  </w:footnote>
  <w:footnote w:id="18">
    <w:p w14:paraId="00280915" w14:textId="4C807A2E" w:rsidR="0033671B" w:rsidRPr="00154346" w:rsidRDefault="0033671B" w:rsidP="00154346">
      <w:pPr>
        <w:pStyle w:val="Testonotaapidipagina"/>
        <w:jc w:val="both"/>
      </w:pPr>
      <w:r w:rsidRPr="00154346">
        <w:rPr>
          <w:rStyle w:val="Rimandonotaapidipagina"/>
          <w:rFonts w:eastAsiaTheme="majorEastAsia"/>
        </w:rPr>
        <w:footnoteRef/>
      </w:r>
      <w:r w:rsidRPr="00154346">
        <w:t xml:space="preserve"> </w:t>
      </w:r>
      <w:r w:rsidR="00D03686" w:rsidRPr="00D03686">
        <w:t>«El Pleno de la Sala de lo Penal ha acordado por unanimidad la competencia de España para la persecución de los delitos de ablación de acuerdo con el Convenio del Consejo de Europa sobre prevención y lucha contra la violencia contra las mujeres y la violencia doméstica que entró en vigor el pasado 1 de agosto. De esta forma, el Pleno ratifica la decisión del Juzgado Central 3 por la que procesó a unos padres por la mutilación genital de su hija, cometida en Gambia en 2005»</w:t>
      </w:r>
      <w:r w:rsidRPr="00154346">
        <w:t>.</w:t>
      </w:r>
    </w:p>
  </w:footnote>
  <w:footnote w:id="19">
    <w:p w14:paraId="1AF12620" w14:textId="1FD11B34" w:rsidR="0033671B" w:rsidRPr="00154346" w:rsidRDefault="0033671B" w:rsidP="00154346">
      <w:pPr>
        <w:pStyle w:val="Testonotaapidipagina"/>
        <w:jc w:val="both"/>
      </w:pPr>
      <w:r w:rsidRPr="00154346">
        <w:rPr>
          <w:rStyle w:val="Rimandonotaapidipagina"/>
          <w:rFonts w:eastAsiaTheme="majorEastAsia"/>
        </w:rPr>
        <w:footnoteRef/>
      </w:r>
      <w:r w:rsidRPr="00154346">
        <w:t xml:space="preserve"> </w:t>
      </w:r>
      <w:r w:rsidR="00D03686" w:rsidRPr="00D03686">
        <w:t>Ley 4/2015, de 27 de abril, del Estatuto de la víctima del delito. Catorce. Se introduce un nuevo artículo 544 quinquies con la siguiente redacción: «Artículo 544 quinquies. 1. En los casos en los que se investigue un delito de los mencionados en el artículo 57 del Código Penal, el Juez o Tribunal, cuando resulte necesario al fin de protección de la víctima menor de edad o con la capacidad judicialmente modificada, en su caso, adoptará motivadamente alguna de las siguientes medidas: a) Suspender la patria potestad de alguno de los progenitores. […] b) Suspender la tutela, curatela, guarda o acogimiento. c) Establecer un régimen de supervisión del ejercicio de la patria potestad, tutela o de cualquier otra función tutelar o de protección o apoyo sobre el menor […] d) Suspender o modificar el régimen de visitas o comunicación con el no conviviente o con otro familiar que se encontrara en vigor, cuando resulte necesario para garantizar la protección del menor o de la persona con capacidad judicialmente modificada. 2. Cuando en el desarrollo del proceso se ponga de manifiesto la existencia de una situación de riesgo o posible desamparo de un menor y, en todo caso, cuando fueran adoptadas algunas de las medidas de las letras a) o b) del apartado anterior, el Secretario judicial lo comunicará inmediatamente a la entidad pública competente que tenga legalmente encomendada la protección de los menores, así como al Ministerio Fiscal, a fin de que puedan adoptar las medidas de protección que resulten necesarias. […]»</w:t>
      </w:r>
      <w:r w:rsidR="00D03686">
        <w:t>.</w:t>
      </w:r>
    </w:p>
  </w:footnote>
  <w:footnote w:id="20">
    <w:p w14:paraId="305055A5" w14:textId="38B15F3A" w:rsidR="0033671B" w:rsidRPr="00154346" w:rsidRDefault="0033671B" w:rsidP="00154346">
      <w:pPr>
        <w:pStyle w:val="Testonotaapidipagina"/>
        <w:jc w:val="both"/>
      </w:pPr>
      <w:r w:rsidRPr="00154346">
        <w:rPr>
          <w:rStyle w:val="Rimandonotaapidipagina"/>
          <w:rFonts w:eastAsiaTheme="majorEastAsia"/>
        </w:rPr>
        <w:footnoteRef/>
      </w:r>
      <w:r w:rsidRPr="00154346">
        <w:t xml:space="preserve"> </w:t>
      </w:r>
      <w:r w:rsidR="00D03686" w:rsidRPr="00D03686">
        <w:t>Sobre este particular, nos remitimos, entre otras, a las siguientes resoluciones: auto n.º 24/2004, de 11 de febrero, de la Audiencia Provincial de Gerona (Sección Segunda); auto n.º 327/2023, de 5 de octubre, de la Audiencia Provincial de Barcelona (Sección Decimoctava); y auto n.º 105/2024, de 29 de enero, de la Audiencia Provincial de Barcelona (Sección Tercera)</w:t>
      </w:r>
      <w:r w:rsidRPr="00154346">
        <w:t>.</w:t>
      </w:r>
    </w:p>
  </w:footnote>
  <w:footnote w:id="21">
    <w:p w14:paraId="14F26FC3" w14:textId="13E40574" w:rsidR="0033671B" w:rsidRPr="00154346" w:rsidRDefault="0033671B" w:rsidP="00154346">
      <w:pPr>
        <w:pStyle w:val="Testonotaapidipagina"/>
        <w:jc w:val="both"/>
      </w:pPr>
      <w:r w:rsidRPr="00154346">
        <w:rPr>
          <w:rStyle w:val="Rimandonotaapidipagina"/>
          <w:rFonts w:eastAsiaTheme="majorEastAsia"/>
        </w:rPr>
        <w:footnoteRef/>
      </w:r>
      <w:r w:rsidRPr="00154346">
        <w:t xml:space="preserve"> </w:t>
      </w:r>
      <w:r w:rsidR="00D03686" w:rsidRPr="00D03686">
        <w:t>Ley Orgánica 10/2022, de 6 de septiembre, de garantía integral de la libertad sexual. Art. 22. Detección de casos de mutilación genital femenina, trata de mujeres con fines de explotación sexual y matrimonio forzado: «Los poderes públicos establecerán protocolos de actuación que permitan la detección y atención de casos de mutilación genital femenina, de trata de mujeres con fines de explotación sexual y de matrimonio forzado, para lo cual se procurará la formación específica necesaria para la especialización profesional, pudiendo incluirse acciones específicas en el marco de la cooperación internacional al desarrollo»</w:t>
      </w:r>
      <w:r w:rsidRPr="00154346">
        <w:t>.</w:t>
      </w:r>
    </w:p>
  </w:footnote>
  <w:footnote w:id="22">
    <w:p w14:paraId="01E522D4" w14:textId="50CD6F7B" w:rsidR="0033671B" w:rsidRPr="00154346" w:rsidRDefault="0033671B" w:rsidP="00154346">
      <w:pPr>
        <w:pStyle w:val="Testonotaapidipagina"/>
        <w:jc w:val="both"/>
      </w:pPr>
      <w:r w:rsidRPr="00154346">
        <w:rPr>
          <w:rStyle w:val="Rimandonotaapidipagina"/>
          <w:rFonts w:eastAsiaTheme="majorEastAsia"/>
        </w:rPr>
        <w:footnoteRef/>
      </w:r>
      <w:r w:rsidRPr="00154346">
        <w:t xml:space="preserve"> </w:t>
      </w:r>
      <w:r w:rsidR="00D03686" w:rsidRPr="00D03686">
        <w:t>Sentencia de la Audiencia Provincial de Teruel, Sala de lo Penal, n.º 26/2011, de 15 de noviembre</w:t>
      </w:r>
      <w:r w:rsidRPr="00154346">
        <w:t>.</w:t>
      </w:r>
    </w:p>
  </w:footnote>
  <w:footnote w:id="23">
    <w:p w14:paraId="4E75DB55" w14:textId="0FA2F62E" w:rsidR="0033671B" w:rsidRPr="00154346" w:rsidRDefault="0033671B" w:rsidP="00154346">
      <w:pPr>
        <w:pStyle w:val="Testonotaapidipagina"/>
        <w:jc w:val="both"/>
      </w:pPr>
      <w:r w:rsidRPr="00154346">
        <w:rPr>
          <w:rStyle w:val="Rimandonotaapidipagina"/>
          <w:rFonts w:eastAsiaTheme="majorEastAsia"/>
        </w:rPr>
        <w:footnoteRef/>
      </w:r>
      <w:r w:rsidRPr="00154346">
        <w:t xml:space="preserve"> </w:t>
      </w:r>
      <w:r w:rsidR="00D03686" w:rsidRPr="00D03686">
        <w:t>Sentencia del Tribunal Supremo, Sala Segunda, n.º 835/2012, de 31 de octubr</w:t>
      </w:r>
      <w:r w:rsidR="00D03686">
        <w:t>e</w:t>
      </w:r>
      <w:r w:rsidRPr="00154346">
        <w:t xml:space="preserve">. </w:t>
      </w:r>
    </w:p>
  </w:footnote>
  <w:footnote w:id="24">
    <w:p w14:paraId="1A6C2E31" w14:textId="15F9363C" w:rsidR="0033671B" w:rsidRPr="00154346" w:rsidRDefault="0033671B" w:rsidP="00154346">
      <w:pPr>
        <w:pStyle w:val="Testonotaapidipagina"/>
        <w:jc w:val="both"/>
      </w:pPr>
      <w:r w:rsidRPr="00154346">
        <w:rPr>
          <w:rStyle w:val="Rimandonotaapidipagina"/>
          <w:rFonts w:eastAsiaTheme="majorEastAsia"/>
        </w:rPr>
        <w:footnoteRef/>
      </w:r>
      <w:r w:rsidRPr="00154346">
        <w:t xml:space="preserve"> </w:t>
      </w:r>
      <w:r w:rsidR="00D03686" w:rsidRPr="00D03686">
        <w:t>Art. 24.2 CE 1978: «Asimismo, todos tienen derecho al Juez ordinario predeterminado por la ley, a la defensa y a la asistencia de letrado, a ser informados de la acusación formulada contra ellos, a un proceso público sin dilaciones indebidas y con todas las garantías, a utilizar los medios de prueba pertinentes para su defensa, a no declarar contra sí mismos, a no confesarse culpables y a la presunción de inocencia. […]»</w:t>
      </w:r>
    </w:p>
  </w:footnote>
  <w:footnote w:id="25">
    <w:p w14:paraId="4334BDE8" w14:textId="789C5899" w:rsidR="0033671B" w:rsidRPr="00154346" w:rsidRDefault="0033671B" w:rsidP="00154346">
      <w:pPr>
        <w:pStyle w:val="Testonotaapidipagina"/>
        <w:jc w:val="both"/>
      </w:pPr>
      <w:r w:rsidRPr="00154346">
        <w:rPr>
          <w:rStyle w:val="Rimandonotaapidipagina"/>
          <w:rFonts w:eastAsiaTheme="majorEastAsia"/>
        </w:rPr>
        <w:footnoteRef/>
      </w:r>
      <w:r w:rsidRPr="00154346">
        <w:t xml:space="preserve"> </w:t>
      </w:r>
      <w:r w:rsidR="00D03686" w:rsidRPr="00D03686">
        <w:t>Sentencia del Tribunal Supremo, Sala Segunda, n.º 399/2014, de 8 de mayo</w:t>
      </w:r>
      <w:r w:rsidRPr="00154346">
        <w:t>.</w:t>
      </w:r>
    </w:p>
  </w:footnote>
  <w:footnote w:id="26">
    <w:p w14:paraId="59663849" w14:textId="79CDD36B" w:rsidR="0033671B" w:rsidRPr="00154346" w:rsidRDefault="0033671B" w:rsidP="00154346">
      <w:pPr>
        <w:pStyle w:val="Testonotaapidipagina"/>
        <w:jc w:val="both"/>
      </w:pPr>
      <w:r w:rsidRPr="00154346">
        <w:rPr>
          <w:rStyle w:val="Rimandonotaapidipagina"/>
          <w:rFonts w:eastAsiaTheme="majorEastAsia"/>
        </w:rPr>
        <w:footnoteRef/>
      </w:r>
      <w:r w:rsidRPr="00154346">
        <w:t xml:space="preserve"> </w:t>
      </w:r>
      <w:r w:rsidR="00D03686" w:rsidRPr="00D03686">
        <w:t>Sentencia del Tribunal Supremo, Sala Segunda, n.º 939/2013, de 16 de diciembre</w:t>
      </w:r>
      <w:r w:rsidRPr="00154346">
        <w:t>.</w:t>
      </w:r>
    </w:p>
  </w:footnote>
  <w:footnote w:id="27">
    <w:p w14:paraId="1285452F" w14:textId="5790BEB1" w:rsidR="0033671B" w:rsidRPr="00154346" w:rsidRDefault="0033671B" w:rsidP="00154346">
      <w:pPr>
        <w:pStyle w:val="Testonotaapidipagina"/>
        <w:jc w:val="both"/>
      </w:pPr>
      <w:r w:rsidRPr="00154346">
        <w:rPr>
          <w:rStyle w:val="Rimandonotaapidipagina"/>
          <w:rFonts w:eastAsiaTheme="majorEastAsia"/>
        </w:rPr>
        <w:footnoteRef/>
      </w:r>
      <w:r w:rsidRPr="00154346">
        <w:t xml:space="preserve"> </w:t>
      </w:r>
      <w:r w:rsidR="00D03686" w:rsidRPr="00D03686">
        <w:t>Sentencia del Tribunal Supremo, Sala Segunda, n.º 351/2015, de 26 de mayo</w:t>
      </w:r>
      <w:r w:rsidRPr="00154346">
        <w:t>.</w:t>
      </w:r>
    </w:p>
  </w:footnote>
  <w:footnote w:id="28">
    <w:p w14:paraId="1DBBC7C3" w14:textId="3765BF74" w:rsidR="0033671B" w:rsidRPr="00154346" w:rsidRDefault="0033671B" w:rsidP="00154346">
      <w:pPr>
        <w:pStyle w:val="Testonotaapidipagina"/>
        <w:jc w:val="both"/>
      </w:pPr>
      <w:r w:rsidRPr="00154346">
        <w:rPr>
          <w:rStyle w:val="Rimandonotaapidipagina"/>
          <w:rFonts w:eastAsiaTheme="majorEastAsia"/>
        </w:rPr>
        <w:footnoteRef/>
      </w:r>
      <w:r w:rsidRPr="00154346">
        <w:t xml:space="preserve"> </w:t>
      </w:r>
      <w:r w:rsidR="00D03686" w:rsidRPr="00D03686">
        <w:t>Auto de la Audiencia Provincial de Jaén n.º 291/2017, de 19 de abril</w:t>
      </w:r>
      <w:r w:rsidRPr="00154346">
        <w:t>.</w:t>
      </w:r>
    </w:p>
  </w:footnote>
  <w:footnote w:id="29">
    <w:p w14:paraId="47EB3358" w14:textId="37064112" w:rsidR="0033671B" w:rsidRPr="00154346" w:rsidRDefault="0033671B" w:rsidP="00154346">
      <w:pPr>
        <w:pStyle w:val="Testonotaapidipagina"/>
        <w:jc w:val="both"/>
      </w:pPr>
      <w:r w:rsidRPr="00154346">
        <w:rPr>
          <w:rStyle w:val="Rimandonotaapidipagina"/>
          <w:rFonts w:eastAsiaTheme="majorEastAsia"/>
        </w:rPr>
        <w:footnoteRef/>
      </w:r>
      <w:r w:rsidRPr="00154346">
        <w:t xml:space="preserve"> </w:t>
      </w:r>
      <w:r w:rsidR="00D03686" w:rsidRPr="00D03686">
        <w:t>«6. Los delitos a los que se refieren los apartados 3 y 4 solamente serán perseguibles en España previa interposición de querella por el agraviado o por el Ministerio Fiscal»</w:t>
      </w:r>
      <w:r w:rsidR="00D03686">
        <w:t>.</w:t>
      </w:r>
    </w:p>
  </w:footnote>
  <w:footnote w:id="30">
    <w:p w14:paraId="4628EFBB" w14:textId="5483BDD6" w:rsidR="000C7A11" w:rsidRPr="00154346" w:rsidRDefault="000C7A11" w:rsidP="00154346">
      <w:pPr>
        <w:pStyle w:val="Testonotaapidipagina"/>
        <w:jc w:val="both"/>
      </w:pPr>
      <w:r w:rsidRPr="00154346">
        <w:rPr>
          <w:rStyle w:val="Rimandonotaapidipagina"/>
          <w:rFonts w:eastAsiaTheme="majorEastAsia"/>
        </w:rPr>
        <w:footnoteRef/>
      </w:r>
      <w:r w:rsidRPr="00154346">
        <w:t xml:space="preserve"> </w:t>
      </w:r>
      <w:r w:rsidR="00D03686" w:rsidRPr="00D03686">
        <w:t>Sentencia del Tribunal Supremo, Sala Segunda, n.º 351/2015, de 26 de mayo, cit</w:t>
      </w:r>
      <w:r w:rsidRPr="00154346">
        <w:t>.</w:t>
      </w:r>
    </w:p>
  </w:footnote>
  <w:footnote w:id="31">
    <w:p w14:paraId="2B81A12B" w14:textId="23A4CB27" w:rsidR="000C7A11" w:rsidRPr="00154346" w:rsidRDefault="000C7A11" w:rsidP="00154346">
      <w:pPr>
        <w:pStyle w:val="Testonotaapidipagina"/>
        <w:jc w:val="both"/>
      </w:pPr>
      <w:r w:rsidRPr="00154346">
        <w:rPr>
          <w:rStyle w:val="Rimandonotaapidipagina"/>
          <w:rFonts w:eastAsiaTheme="majorEastAsia"/>
        </w:rPr>
        <w:footnoteRef/>
      </w:r>
      <w:r w:rsidRPr="00154346">
        <w:t xml:space="preserve"> </w:t>
      </w:r>
      <w:r w:rsidR="00D03686" w:rsidRPr="00D03686">
        <w:t>Sentencia de la Audiencia Provincial de Teruel, Sala de lo Penal, n.º 26/2011, de 15 de noviembre, cit</w:t>
      </w:r>
      <w:r w:rsidRPr="00154346">
        <w:t>.</w:t>
      </w:r>
    </w:p>
  </w:footnote>
  <w:footnote w:id="32">
    <w:p w14:paraId="2710A5FF" w14:textId="43A9CC59" w:rsidR="000C7A11" w:rsidRPr="00154346" w:rsidRDefault="000C7A11" w:rsidP="00154346">
      <w:pPr>
        <w:pStyle w:val="Testonotaapidipagina"/>
        <w:jc w:val="both"/>
      </w:pPr>
      <w:r w:rsidRPr="00154346">
        <w:rPr>
          <w:rStyle w:val="Rimandonotaapidipagina"/>
          <w:rFonts w:eastAsiaTheme="majorEastAsia"/>
        </w:rPr>
        <w:footnoteRef/>
      </w:r>
      <w:r w:rsidRPr="00154346">
        <w:t xml:space="preserve"> </w:t>
      </w:r>
      <w:r w:rsidR="00D03686" w:rsidRPr="00D03686">
        <w:t>Art. 20 CP: «Están exentos de responsabilidad criminal: […] 3.º El que, por sufrir alteraciones en la percepción desde el nacimiento o desde la infancia, tenga alterada gravemente la conciencia de la realidad. […] 5.º El que, en estado de necesidad, para evitar un mal propio o ajeno lesione un bien jurídico de otra persona o infrinja un deber, siempre que concurran los siguientes requisitos: Primero. Que el mal causado no sea mayor que el que se trate de evitar. Segundo. Que la situación de necesidad no haya sido provocada intencionadamente por el sujeto. Tercero. Que el necesitado no tenga, por su oficio o cargo, obligación de sacrificarse. 6.º El que obre impulsado por miedo insuperable. […]»</w:t>
      </w:r>
      <w:r w:rsidR="00D03686">
        <w:t>.</w:t>
      </w:r>
    </w:p>
  </w:footnote>
  <w:footnote w:id="33">
    <w:p w14:paraId="44BCE407" w14:textId="368A51CC" w:rsidR="000C7A11" w:rsidRPr="00154346" w:rsidRDefault="000C7A11" w:rsidP="00154346">
      <w:pPr>
        <w:pStyle w:val="Testonotaapidipagina"/>
        <w:jc w:val="both"/>
      </w:pPr>
      <w:r w:rsidRPr="00154346">
        <w:rPr>
          <w:rStyle w:val="Rimandonotaapidipagina"/>
          <w:rFonts w:eastAsiaTheme="majorEastAsia"/>
        </w:rPr>
        <w:footnoteRef/>
      </w:r>
      <w:r w:rsidRPr="00154346">
        <w:t xml:space="preserve"> </w:t>
      </w:r>
      <w:r w:rsidR="005758CB" w:rsidRPr="005758CB">
        <w:t>Convenio para la Protección de los Derechos Humanos y de las Libertades Fundamentales, hecho en Roma el 4 de noviembre de 1950 (BOE, 10 de octubre de 1979). Art. 3: «Nadie podrá ser sometido a tortura ni a penas o tratos inhumanos o degradantes»</w:t>
      </w:r>
      <w:r w:rsidRPr="00154346">
        <w:t>.</w:t>
      </w:r>
    </w:p>
  </w:footnote>
  <w:footnote w:id="34">
    <w:p w14:paraId="1D84C9D2" w14:textId="25114EC6" w:rsidR="000C7A11" w:rsidRPr="00154346" w:rsidRDefault="000C7A11" w:rsidP="00154346">
      <w:pPr>
        <w:pStyle w:val="Testonotaapidipagina"/>
        <w:jc w:val="both"/>
      </w:pPr>
      <w:r w:rsidRPr="00154346">
        <w:rPr>
          <w:rStyle w:val="Rimandonotaapidipagina"/>
          <w:rFonts w:eastAsiaTheme="majorEastAsia"/>
        </w:rPr>
        <w:footnoteRef/>
      </w:r>
      <w:r w:rsidRPr="00154346">
        <w:t xml:space="preserve"> </w:t>
      </w:r>
      <w:r w:rsidR="005758CB" w:rsidRPr="005758CB">
        <w:t>Sentencia del Tribunal Supremo, Sala Segunda, n.º 835/2012, de 31 de octubre, cit</w:t>
      </w:r>
      <w:r w:rsidRPr="00154346">
        <w:t>.</w:t>
      </w:r>
    </w:p>
  </w:footnote>
  <w:footnote w:id="35">
    <w:p w14:paraId="0A3F38A3" w14:textId="6B5B2175" w:rsidR="000C7A11" w:rsidRPr="00154346" w:rsidRDefault="000C7A11" w:rsidP="00154346">
      <w:pPr>
        <w:pStyle w:val="Testonotaapidipagina"/>
        <w:jc w:val="both"/>
      </w:pPr>
      <w:r w:rsidRPr="00154346">
        <w:rPr>
          <w:rStyle w:val="Rimandonotaapidipagina"/>
          <w:rFonts w:eastAsiaTheme="majorEastAsia"/>
        </w:rPr>
        <w:footnoteRef/>
      </w:r>
      <w:r w:rsidRPr="00154346">
        <w:t xml:space="preserve"> </w:t>
      </w:r>
      <w:r w:rsidR="005758CB" w:rsidRPr="005758CB">
        <w:t>Sentencia de la Audiencia Nacional, Sección Cuarta, n.º 9/2013, de 4 de abril</w:t>
      </w:r>
      <w:r w:rsidRPr="00154346">
        <w:t>.</w:t>
      </w:r>
    </w:p>
  </w:footnote>
  <w:footnote w:id="36">
    <w:p w14:paraId="1DA2BF53" w14:textId="6545E9BC" w:rsidR="00673BC4" w:rsidRPr="00154346" w:rsidRDefault="00673BC4" w:rsidP="00154346">
      <w:pPr>
        <w:pStyle w:val="Testonotaapidipagina"/>
        <w:jc w:val="both"/>
      </w:pPr>
      <w:r w:rsidRPr="00154346">
        <w:rPr>
          <w:rStyle w:val="Rimandonotaapidipagina"/>
          <w:rFonts w:eastAsiaTheme="majorEastAsia"/>
        </w:rPr>
        <w:footnoteRef/>
      </w:r>
      <w:r w:rsidRPr="00154346">
        <w:t xml:space="preserve"> </w:t>
      </w:r>
      <w:r w:rsidR="005758CB" w:rsidRPr="005758CB">
        <w:t>Art. 14 CP: «[…] 3. El error invencible sobre la ilicitud del hecho constitutivo de la infracción penal excluye la responsabilidad criminal. Si el error fuera vencible, se aplicará la pena inferior en uno o dos grados»</w:t>
      </w:r>
      <w:r w:rsidRPr="00154346">
        <w:t>.</w:t>
      </w:r>
    </w:p>
  </w:footnote>
  <w:footnote w:id="37">
    <w:p w14:paraId="07929159" w14:textId="11790488" w:rsidR="00673BC4" w:rsidRPr="00154346" w:rsidRDefault="00673BC4" w:rsidP="00154346">
      <w:pPr>
        <w:pStyle w:val="Testonotaapidipagina"/>
        <w:jc w:val="both"/>
      </w:pPr>
      <w:r w:rsidRPr="00154346">
        <w:rPr>
          <w:rStyle w:val="Rimandonotaapidipagina"/>
          <w:rFonts w:eastAsiaTheme="majorEastAsia"/>
        </w:rPr>
        <w:footnoteRef/>
      </w:r>
      <w:r w:rsidRPr="00154346">
        <w:t xml:space="preserve"> </w:t>
      </w:r>
      <w:r w:rsidR="00601433" w:rsidRPr="00601433">
        <w:t>Sentencia de la Audiencia Provincial de Teruel, Sala de lo Penal, n.º 26/2011, de 15 de noviembre, cit. Ambos padres recurrieron esta sentencia en casación, si bien el Tribunal Supremo rechazó sus respectivas alegaciones a este respecto (Sentencia del Tribunal Supremo, Sala Segunda, n.º 835/2012, de 31 de octubre, cit.)</w:t>
      </w:r>
      <w:r w:rsidRPr="00154346">
        <w:t>.</w:t>
      </w:r>
    </w:p>
  </w:footnote>
  <w:footnote w:id="38">
    <w:p w14:paraId="1CDEADAB" w14:textId="198A45F4" w:rsidR="00673BC4" w:rsidRPr="00154346" w:rsidRDefault="00673BC4" w:rsidP="00154346">
      <w:pPr>
        <w:pStyle w:val="Testonotaapidipagina"/>
        <w:jc w:val="both"/>
      </w:pPr>
      <w:r w:rsidRPr="00154346">
        <w:rPr>
          <w:rStyle w:val="Rimandonotaapidipagina"/>
          <w:rFonts w:eastAsiaTheme="majorEastAsia"/>
        </w:rPr>
        <w:footnoteRef/>
      </w:r>
      <w:r w:rsidRPr="00154346">
        <w:t xml:space="preserve"> </w:t>
      </w:r>
      <w:r w:rsidR="00601433" w:rsidRPr="00601433">
        <w:t>Sentencia de la Audiencia Nacional, Sección Cuarta, n.º 9/2013, de 4 de abril, cit</w:t>
      </w:r>
      <w:r w:rsidRPr="00154346">
        <w:t>.</w:t>
      </w:r>
    </w:p>
  </w:footnote>
  <w:footnote w:id="39">
    <w:p w14:paraId="25B944A7" w14:textId="245617D4" w:rsidR="00673BC4" w:rsidRPr="00154346" w:rsidRDefault="00673BC4" w:rsidP="00154346">
      <w:pPr>
        <w:pStyle w:val="Testonotaapidipagina"/>
        <w:jc w:val="both"/>
      </w:pPr>
      <w:r w:rsidRPr="00154346">
        <w:rPr>
          <w:rStyle w:val="Rimandonotaapidipagina"/>
          <w:rFonts w:eastAsiaTheme="majorEastAsia"/>
        </w:rPr>
        <w:footnoteRef/>
      </w:r>
      <w:r w:rsidRPr="00154346">
        <w:t xml:space="preserve"> </w:t>
      </w:r>
      <w:r w:rsidR="00601433" w:rsidRPr="00601433">
        <w:t>Art. 849 LECrim: «Se entenderá que ha sido infringida la Ley para el efecto de que pueda interponerse el recurso de casación: 1.º Cuando, dados los hechos que se declaren probados en las resoluciones comprendidas en los dos artículos anteriores, se hubiere infringido un precepto penal de carácter sustantivo u otra norma jurídica del mismo carácter que deba ser observada en la aplicación de la Ley penal»</w:t>
      </w:r>
      <w:r w:rsidRPr="00154346">
        <w:t>.</w:t>
      </w:r>
    </w:p>
  </w:footnote>
  <w:footnote w:id="40">
    <w:p w14:paraId="4F8B71BD" w14:textId="62F98041" w:rsidR="00673BC4" w:rsidRPr="00154346" w:rsidRDefault="00673BC4" w:rsidP="00154346">
      <w:pPr>
        <w:pStyle w:val="Testonotaapidipagina"/>
        <w:jc w:val="both"/>
      </w:pPr>
      <w:r w:rsidRPr="00154346">
        <w:rPr>
          <w:rStyle w:val="Rimandonotaapidipagina"/>
          <w:rFonts w:eastAsiaTheme="majorEastAsia"/>
        </w:rPr>
        <w:footnoteRef/>
      </w:r>
      <w:r w:rsidRPr="00154346">
        <w:t xml:space="preserve"> </w:t>
      </w:r>
      <w:r w:rsidR="00601433" w:rsidRPr="00601433">
        <w:t>Sentencia de la Audiencia Nacional, Sección Cuarta, n.º 36/2012, de 24 de julio de 2012</w:t>
      </w:r>
      <w:r w:rsidRPr="00154346">
        <w:t>.</w:t>
      </w:r>
    </w:p>
  </w:footnote>
  <w:footnote w:id="41">
    <w:p w14:paraId="33974CE8" w14:textId="2757EA5D" w:rsidR="00673BC4" w:rsidRPr="00154346" w:rsidRDefault="00673BC4" w:rsidP="00154346">
      <w:pPr>
        <w:pStyle w:val="Testonotaapidipagina"/>
        <w:jc w:val="both"/>
      </w:pPr>
      <w:r w:rsidRPr="00154346">
        <w:rPr>
          <w:rStyle w:val="Rimandonotaapidipagina"/>
          <w:rFonts w:eastAsiaTheme="majorEastAsia"/>
        </w:rPr>
        <w:footnoteRef/>
      </w:r>
      <w:r w:rsidRPr="00154346">
        <w:t xml:space="preserve"> </w:t>
      </w:r>
      <w:r w:rsidR="00601433" w:rsidRPr="00601433">
        <w:t>Sentencia del Tribunal Supremo, Sala Segunda, n.º 939/2013, de 16 de diciembre, cit</w:t>
      </w:r>
      <w:r w:rsidRPr="00154346">
        <w:t>.</w:t>
      </w:r>
    </w:p>
  </w:footnote>
  <w:footnote w:id="42">
    <w:p w14:paraId="2AD7DFD9" w14:textId="3B1058B0" w:rsidR="00673BC4" w:rsidRPr="00154346" w:rsidRDefault="00673BC4" w:rsidP="00154346">
      <w:pPr>
        <w:pStyle w:val="Testonotaapidipagina"/>
        <w:jc w:val="both"/>
      </w:pPr>
      <w:r w:rsidRPr="00154346">
        <w:rPr>
          <w:rStyle w:val="Rimandonotaapidipagina"/>
          <w:rFonts w:eastAsiaTheme="majorEastAsia"/>
        </w:rPr>
        <w:footnoteRef/>
      </w:r>
      <w:r w:rsidRPr="00154346">
        <w:t xml:space="preserve"> </w:t>
      </w:r>
      <w:r w:rsidR="005A587C" w:rsidRPr="005A587C">
        <w:t>Art. 11 CP: «Los delitos que consistan en la producción de un resultado sólo se entenderán cometidos por omisión cuando la no evitación del mismo, al infringir un especial deber jurídico del autor, equivalga, según el sentido del texto de la ley, a su causación. A tal efecto se equiparará la omisión a la acción: a) Cuando exista una específica obligación legal o contractual de actuar. b) Cuando el omitente haya creado una ocasión de riesgo para el bien jurídicamente protegido mediante una acción u omisión precedente»</w:t>
      </w:r>
      <w:r w:rsidRPr="00154346">
        <w:t>.</w:t>
      </w:r>
    </w:p>
  </w:footnote>
  <w:footnote w:id="43">
    <w:p w14:paraId="36B35383" w14:textId="53D5E844" w:rsidR="00673BC4" w:rsidRPr="00154346" w:rsidRDefault="00673BC4" w:rsidP="00154346">
      <w:pPr>
        <w:pStyle w:val="Testonotaapidipagina"/>
        <w:jc w:val="both"/>
      </w:pPr>
      <w:r w:rsidRPr="00154346">
        <w:rPr>
          <w:rStyle w:val="Rimandonotaapidipagina"/>
          <w:rFonts w:eastAsiaTheme="majorEastAsia"/>
        </w:rPr>
        <w:footnoteRef/>
      </w:r>
      <w:r w:rsidRPr="00154346">
        <w:t xml:space="preserve"> </w:t>
      </w:r>
      <w:r w:rsidR="005A587C" w:rsidRPr="005A587C">
        <w:t>Sentencia del Tribunal Supremo, Sala Segunda, n.º 939/2013, de 16 de diciembre, cit</w:t>
      </w:r>
      <w:r w:rsidRPr="00154346">
        <w:t>.</w:t>
      </w:r>
    </w:p>
  </w:footnote>
  <w:footnote w:id="44">
    <w:p w14:paraId="18978D9A" w14:textId="1B85E7C0" w:rsidR="00673BC4" w:rsidRPr="00154346" w:rsidRDefault="00673BC4" w:rsidP="00154346">
      <w:pPr>
        <w:pStyle w:val="Testonotaapidipagina"/>
        <w:jc w:val="both"/>
      </w:pPr>
      <w:r w:rsidRPr="00154346">
        <w:rPr>
          <w:rStyle w:val="Rimandonotaapidipagina"/>
          <w:rFonts w:eastAsiaTheme="majorEastAsia"/>
        </w:rPr>
        <w:footnoteRef/>
      </w:r>
      <w:r w:rsidRPr="00154346">
        <w:t xml:space="preserve"> </w:t>
      </w:r>
      <w:r w:rsidR="005A587C" w:rsidRPr="005A587C">
        <w:t>Sentencia de la Audiencia Provincial de Barcelona, Sala de lo Penal, n.º 42/2013, de 13 de mayo; Sentencia del Tribunal Supremo, Sala Segunda, n.º 399/2014, de 8 de mayo</w:t>
      </w:r>
      <w:r w:rsidRPr="00154346">
        <w:t>.</w:t>
      </w:r>
    </w:p>
  </w:footnote>
  <w:footnote w:id="45">
    <w:p w14:paraId="09200B97" w14:textId="41337F60" w:rsidR="00673BC4" w:rsidRPr="00154346" w:rsidRDefault="00673BC4" w:rsidP="00154346">
      <w:pPr>
        <w:pStyle w:val="Testonotaapidipagina"/>
        <w:jc w:val="both"/>
      </w:pPr>
      <w:r w:rsidRPr="00154346">
        <w:rPr>
          <w:rStyle w:val="Rimandonotaapidipagina"/>
          <w:rFonts w:eastAsiaTheme="majorEastAsia"/>
        </w:rPr>
        <w:footnoteRef/>
      </w:r>
      <w:r w:rsidRPr="00154346">
        <w:t xml:space="preserve"> </w:t>
      </w:r>
      <w:r w:rsidR="005A587C" w:rsidRPr="005A587C">
        <w:t>Sentencia de la Audiencia Nacional, Sección Tercera, n.º 44/2019, de 23 de diciembre</w:t>
      </w:r>
      <w:r w:rsidRPr="00154346">
        <w:t>.</w:t>
      </w:r>
    </w:p>
  </w:footnote>
  <w:footnote w:id="46">
    <w:p w14:paraId="2D694DA3" w14:textId="7DC0E51A" w:rsidR="00673BC4" w:rsidRPr="00154346" w:rsidRDefault="00673BC4" w:rsidP="00154346">
      <w:pPr>
        <w:pStyle w:val="Testonotaapidipagina"/>
        <w:jc w:val="both"/>
      </w:pPr>
      <w:r w:rsidRPr="00154346">
        <w:rPr>
          <w:rStyle w:val="Rimandonotaapidipagina"/>
          <w:rFonts w:eastAsiaTheme="majorEastAsia"/>
        </w:rPr>
        <w:footnoteRef/>
      </w:r>
      <w:r w:rsidRPr="00154346">
        <w:t xml:space="preserve"> </w:t>
      </w:r>
      <w:r w:rsidR="005A587C">
        <w:t>S</w:t>
      </w:r>
      <w:r w:rsidR="005A587C" w:rsidRPr="005A587C">
        <w:t>entencia de la Audiencia Nacional, Sala de Apelación, n.º 3/2020, de 27 de febrero. Sentencia del Tribunal Supremo, Sala Segunda, n.º 939/2013, de 16 de diciembre, cit</w:t>
      </w:r>
      <w:r w:rsidRPr="00154346">
        <w:t>.</w:t>
      </w:r>
    </w:p>
  </w:footnote>
  <w:footnote w:id="47">
    <w:p w14:paraId="3BD43F61" w14:textId="5D641BAA" w:rsidR="00673BC4" w:rsidRPr="00154346" w:rsidRDefault="00673BC4" w:rsidP="00154346">
      <w:pPr>
        <w:pStyle w:val="Testonotaapidipagina"/>
        <w:jc w:val="both"/>
      </w:pPr>
      <w:r w:rsidRPr="00154346">
        <w:rPr>
          <w:rStyle w:val="Rimandonotaapidipagina"/>
          <w:rFonts w:eastAsiaTheme="majorEastAsia"/>
        </w:rPr>
        <w:footnoteRef/>
      </w:r>
      <w:r w:rsidRPr="00154346">
        <w:t xml:space="preserve"> </w:t>
      </w:r>
      <w:r w:rsidR="005A587C" w:rsidRPr="005A587C">
        <w:t>Sentencia de la Audiencia Nacional, Sección Tercera, n.º 2/2025, de 6 de febrero</w:t>
      </w:r>
      <w:r w:rsidRPr="00154346">
        <w:t>.</w:t>
      </w:r>
    </w:p>
  </w:footnote>
  <w:footnote w:id="48">
    <w:p w14:paraId="66F673AE" w14:textId="53140DD7" w:rsidR="00673BC4" w:rsidRPr="00154346" w:rsidRDefault="00673BC4" w:rsidP="00154346">
      <w:pPr>
        <w:pStyle w:val="Testonotaapidipagina"/>
        <w:jc w:val="both"/>
      </w:pPr>
      <w:r w:rsidRPr="00154346">
        <w:rPr>
          <w:rStyle w:val="Rimandonotaapidipagina"/>
          <w:rFonts w:eastAsiaTheme="majorEastAsia"/>
        </w:rPr>
        <w:footnoteRef/>
      </w:r>
      <w:r w:rsidRPr="00154346">
        <w:t xml:space="preserve"> </w:t>
      </w:r>
      <w:r w:rsidR="005A587C" w:rsidRPr="005A587C">
        <w:t>Sentencia de la Audiencia Provincial de Tarragona, Sala de lo Penal, n.º 47/2018, de 2 de febrero</w:t>
      </w:r>
      <w:r w:rsidRPr="00154346">
        <w:t>.</w:t>
      </w:r>
    </w:p>
  </w:footnote>
  <w:footnote w:id="49">
    <w:p w14:paraId="17C0C4FD" w14:textId="1ECA2C7B" w:rsidR="00673BC4" w:rsidRPr="00154346" w:rsidRDefault="00673BC4" w:rsidP="00154346">
      <w:pPr>
        <w:pStyle w:val="Testonotaapidipagina"/>
        <w:jc w:val="both"/>
      </w:pPr>
      <w:r w:rsidRPr="00154346">
        <w:rPr>
          <w:rStyle w:val="Rimandonotaapidipagina"/>
          <w:rFonts w:eastAsiaTheme="majorEastAsia"/>
        </w:rPr>
        <w:footnoteRef/>
      </w:r>
      <w:r w:rsidRPr="00154346">
        <w:t xml:space="preserve"> </w:t>
      </w:r>
      <w:r w:rsidR="005A587C" w:rsidRPr="005A587C">
        <w:t>Art. 18.1 CE: «Se garantiza el derecho al honor, a la intimidad personal y familiar y a la propia imagen»</w:t>
      </w:r>
      <w:r w:rsidRPr="00154346">
        <w:t>.</w:t>
      </w:r>
    </w:p>
  </w:footnote>
  <w:footnote w:id="50">
    <w:p w14:paraId="5951CB2A" w14:textId="7F5EFEC7" w:rsidR="00673BC4" w:rsidRPr="00154346" w:rsidRDefault="00673BC4" w:rsidP="00154346">
      <w:pPr>
        <w:pStyle w:val="Testonotaapidipagina"/>
        <w:jc w:val="both"/>
      </w:pPr>
      <w:r w:rsidRPr="00154346">
        <w:rPr>
          <w:rStyle w:val="Rimandonotaapidipagina"/>
          <w:rFonts w:eastAsiaTheme="majorEastAsia"/>
        </w:rPr>
        <w:footnoteRef/>
      </w:r>
      <w:r w:rsidRPr="00154346">
        <w:t xml:space="preserve"> </w:t>
      </w:r>
      <w:r w:rsidR="005A587C" w:rsidRPr="005A587C">
        <w:t>Convenio para la Protección de los Derechos Humanos y de las Libertades Fundamentales, hecho en Roma el 4 de noviembre de 1950 (BOE, 10 de octubre de 1979). Art. 8.1: «Toda persona tiene derecho al respeto de su vida privada y familiar, de su domicilio y de su correspondencia»</w:t>
      </w:r>
      <w:r w:rsidRPr="00154346">
        <w:t>.</w:t>
      </w:r>
    </w:p>
  </w:footnote>
  <w:footnote w:id="51">
    <w:p w14:paraId="31EBFF5F" w14:textId="4E208E59" w:rsidR="00673BC4" w:rsidRPr="00154346" w:rsidRDefault="00673BC4" w:rsidP="00154346">
      <w:pPr>
        <w:pStyle w:val="Testonotaapidipagina"/>
        <w:jc w:val="both"/>
      </w:pPr>
      <w:r w:rsidRPr="00154346">
        <w:rPr>
          <w:rStyle w:val="Rimandonotaapidipagina"/>
          <w:rFonts w:eastAsiaTheme="majorEastAsia"/>
        </w:rPr>
        <w:footnoteRef/>
      </w:r>
      <w:r w:rsidRPr="00154346">
        <w:t xml:space="preserve"> </w:t>
      </w:r>
      <w:r w:rsidR="005A587C" w:rsidRPr="005A587C">
        <w:t>Art. 262 LECrim: «Los que por razón de sus cargos, profesiones u oficios tuvieren noticia de algún delito público, estarán obligados a denunciarlo inmediatamente al Ministerio fiscal, al Tribunal competente, al Juez de instrucción y, en su defecto, al municipal o al funcionario de policía más próximo al sitio si se tratare de un delito flagrante. […]»</w:t>
      </w:r>
    </w:p>
  </w:footnote>
  <w:footnote w:id="52">
    <w:p w14:paraId="45B0B5AE" w14:textId="19011205" w:rsidR="00673BC4" w:rsidRPr="00154346" w:rsidRDefault="00673BC4" w:rsidP="00154346">
      <w:pPr>
        <w:pStyle w:val="Testonotaapidipagina"/>
        <w:jc w:val="both"/>
      </w:pPr>
      <w:r w:rsidRPr="00154346">
        <w:rPr>
          <w:rStyle w:val="Rimandonotaapidipagina"/>
          <w:rFonts w:eastAsiaTheme="majorEastAsia"/>
        </w:rPr>
        <w:footnoteRef/>
      </w:r>
      <w:r w:rsidRPr="00154346">
        <w:t xml:space="preserve"> </w:t>
      </w:r>
      <w:r w:rsidR="005A587C" w:rsidRPr="005A587C">
        <w:t>Ley Orgánica 1/1996, de 15 de enero, de Protección Jurídica del Menor. Art. 2. Interés superior del menor: «1. Todo menor tiene derecho a que su interés superior sea valorado y considerado como primordial en todas las acciones y decisiones que le conciernan, tanto en el ámbito público como privado. En la aplicación de la presente ley y demás normas que le afecten, así como en las medidas concernientes a los menores que adopten las instituciones, públicas o privadas, los Tribunales, o los órganos legislativos primará el interés superior de los mismos sobre cualquier otro interés legítimo que pudiera concurrir. […]»</w:t>
      </w:r>
    </w:p>
  </w:footnote>
  <w:footnote w:id="53">
    <w:p w14:paraId="239D54CD" w14:textId="25088B4F" w:rsidR="00482BD7" w:rsidRPr="00154346" w:rsidRDefault="00482BD7" w:rsidP="00154346">
      <w:pPr>
        <w:pStyle w:val="Testonotaapidipagina"/>
        <w:jc w:val="both"/>
      </w:pPr>
      <w:r w:rsidRPr="00154346">
        <w:rPr>
          <w:rStyle w:val="Rimandonotaapidipagina"/>
          <w:rFonts w:eastAsiaTheme="majorEastAsia"/>
        </w:rPr>
        <w:footnoteRef/>
      </w:r>
      <w:r w:rsidRPr="00154346">
        <w:t xml:space="preserve"> </w:t>
      </w:r>
      <w:r w:rsidR="005A587C" w:rsidRPr="005A587C">
        <w:t>Art. 21 CP: «Son circunstancias atenuantes: […] 5.ª La de haber procedido el culpable a reparar el daño ocasionado a la víctima, o disminuir sus efectos, en cualquier momento del procedimiento y con anterioridad a la celebración del acto del juicio oral»</w:t>
      </w:r>
    </w:p>
  </w:footnote>
  <w:footnote w:id="54">
    <w:p w14:paraId="65CAF591" w14:textId="45A929D5" w:rsidR="00482BD7" w:rsidRDefault="00482BD7" w:rsidP="00154346">
      <w:pPr>
        <w:pStyle w:val="Testonotaapidipagina"/>
        <w:jc w:val="both"/>
      </w:pPr>
      <w:r w:rsidRPr="00154346">
        <w:rPr>
          <w:rStyle w:val="Rimandonotaapidipagina"/>
          <w:rFonts w:eastAsiaTheme="majorEastAsia"/>
        </w:rPr>
        <w:footnoteRef/>
      </w:r>
      <w:r w:rsidRPr="00154346">
        <w:t xml:space="preserve"> </w:t>
      </w:r>
      <w:r w:rsidR="005A587C" w:rsidRPr="005A587C">
        <w:t>Sentencia de la Audiencia Provincial de Barcelona, Sala de lo Penal, n.º 42/2013, de 13 de mayo, cit.; Sentencia del Tribunal Supremo, Sala Segunda, n.º 399/2014, de 8 de mayo, cit</w:t>
      </w:r>
      <w:r w:rsidRPr="0015434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213E1" w14:textId="5117CB32" w:rsidR="00B83742" w:rsidRPr="00D21949" w:rsidRDefault="00A85705" w:rsidP="00A85705">
    <w:pPr>
      <w:tabs>
        <w:tab w:val="center" w:pos="4252"/>
        <w:tab w:val="right" w:pos="8504"/>
      </w:tabs>
      <w:jc w:val="right"/>
      <w:rPr>
        <w:rFonts w:ascii="Fira Sans" w:eastAsia="Aptos" w:hAnsi="Fira Sans"/>
        <w:kern w:val="0"/>
        <w:sz w:val="20"/>
        <w14:ligatures w14:val="none"/>
      </w:rPr>
    </w:pPr>
    <w:r w:rsidRPr="00D21949">
      <w:rPr>
        <w:rFonts w:ascii="Calibri" w:eastAsia="Calibri" w:hAnsi="Calibri"/>
        <w:noProof/>
        <w:kern w:val="0"/>
        <w:sz w:val="22"/>
        <w:szCs w:val="22"/>
        <w:lang w:eastAsia="es-ES"/>
        <w14:ligatures w14:val="none"/>
      </w:rPr>
      <w:drawing>
        <wp:inline distT="0" distB="0" distL="0" distR="0" wp14:anchorId="6BBA209A" wp14:editId="5E819AF8">
          <wp:extent cx="640080" cy="219710"/>
          <wp:effectExtent l="0" t="0" r="762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219710"/>
                  </a:xfrm>
                  <a:prstGeom prst="rect">
                    <a:avLst/>
                  </a:prstGeom>
                  <a:noFill/>
                </pic:spPr>
              </pic:pic>
            </a:graphicData>
          </a:graphic>
        </wp:inline>
      </w:drawing>
    </w:r>
    <w:r w:rsidRPr="00D21949">
      <w:rPr>
        <w:rFonts w:ascii="Calibri" w:eastAsia="MS Mincho" w:hAnsi="Calibri"/>
        <w:noProof/>
        <w:kern w:val="0"/>
        <w:lang w:eastAsia="es-ES"/>
        <w14:ligatures w14:val="none"/>
      </w:rPr>
      <mc:AlternateContent>
        <mc:Choice Requires="wps">
          <w:drawing>
            <wp:anchor distT="0" distB="0" distL="114300" distR="114300" simplePos="0" relativeHeight="251663360" behindDoc="0" locked="0" layoutInCell="0" allowOverlap="1" wp14:anchorId="2D231302" wp14:editId="359CF152">
              <wp:simplePos x="0" y="0"/>
              <wp:positionH relativeFrom="margin">
                <wp:align>left</wp:align>
              </wp:positionH>
              <wp:positionV relativeFrom="page">
                <wp:posOffset>361145</wp:posOffset>
              </wp:positionV>
              <wp:extent cx="3152775" cy="200025"/>
              <wp:effectExtent l="0" t="0" r="0" b="0"/>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2000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421BB" w14:textId="3319FCCC" w:rsidR="00A85705" w:rsidRPr="00D21949" w:rsidRDefault="00A85705" w:rsidP="00CB6EAB">
                          <w:pPr>
                            <w:pStyle w:val="Epigrafeprincipal"/>
                            <w:tabs>
                              <w:tab w:val="clear" w:pos="426"/>
                            </w:tabs>
                            <w:spacing w:before="0" w:after="0" w:line="240" w:lineRule="auto"/>
                            <w:ind w:left="0" w:firstLine="0"/>
                            <w:rPr>
                              <w:rFonts w:ascii="Garamond" w:hAnsi="Garamond"/>
                            </w:rPr>
                          </w:pPr>
                          <w:r w:rsidRPr="00D21949">
                            <w:rPr>
                              <w:rFonts w:ascii="Garamond" w:hAnsi="Garamond"/>
                              <w:i/>
                            </w:rPr>
                            <w:t xml:space="preserve"> </w:t>
                          </w:r>
                          <w:r w:rsidR="00CE1483" w:rsidRPr="00CE1483">
                            <w:rPr>
                              <w:rFonts w:ascii="Garamond" w:hAnsi="Garamond"/>
                              <w:iCs/>
                            </w:rPr>
                            <w:t xml:space="preserve">Pelayo Jardón Pardo </w:t>
                          </w:r>
                          <w:r w:rsidR="00CE1483">
                            <w:rPr>
                              <w:rFonts w:ascii="Garamond" w:hAnsi="Garamond"/>
                              <w:iCs/>
                            </w:rPr>
                            <w:t>d</w:t>
                          </w:r>
                          <w:r w:rsidR="00CE1483" w:rsidRPr="00CE1483">
                            <w:rPr>
                              <w:rFonts w:ascii="Garamond" w:hAnsi="Garamond"/>
                              <w:iCs/>
                            </w:rPr>
                            <w:t>e Santayana</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D231302" id="_x0000_t202" coordsize="21600,21600" o:spt="202" path="m,l,21600r21600,l21600,xe">
              <v:stroke joinstyle="miter"/>
              <v:path gradientshapeok="t" o:connecttype="rect"/>
            </v:shapetype>
            <v:shape id="Cuadro de texto 23" o:spid="_x0000_s1026" type="#_x0000_t202" style="position:absolute;left:0;text-align:left;margin-left:0;margin-top:28.45pt;width:248.25pt;height:15.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" o:allowincell="f" filled="f" stroked="f">
              <v:textbox inset=",0,,0">
                <w:txbxContent>
                  <w:p w14:paraId="01C421BB" w14:textId="3319FCCC" w:rsidR="00A85705" w:rsidRPr="00D21949" w:rsidRDefault="00A85705" w:rsidP="00CB6EAB">
                    <w:pPr>
                      <w:pStyle w:val="Epigrafeprincipal"/>
                      <w:tabs>
                        <w:tab w:val="clear" w:pos="426"/>
                      </w:tabs>
                      <w:spacing w:before="0" w:after="0" w:line="240" w:lineRule="auto"/>
                      <w:ind w:left="0" w:firstLine="0"/>
                      <w:rPr>
                        <w:rFonts w:ascii="Garamond" w:hAnsi="Garamond"/>
                      </w:rPr>
                    </w:pPr>
                    <w:r w:rsidRPr="00D21949">
                      <w:rPr>
                        <w:rFonts w:ascii="Garamond" w:hAnsi="Garamond"/>
                        <w:i/>
                      </w:rPr>
                      <w:t xml:space="preserve"> </w:t>
                    </w:r>
                    <w:r w:rsidR="00CE1483" w:rsidRPr="00CE1483">
                      <w:rPr>
                        <w:rFonts w:ascii="Garamond" w:hAnsi="Garamond"/>
                        <w:iCs/>
                      </w:rPr>
                      <w:t xml:space="preserve">Pelayo Jardón Pardo </w:t>
                    </w:r>
                    <w:r w:rsidR="00CE1483">
                      <w:rPr>
                        <w:rFonts w:ascii="Garamond" w:hAnsi="Garamond"/>
                        <w:iCs/>
                      </w:rPr>
                      <w:t>d</w:t>
                    </w:r>
                    <w:r w:rsidR="00CE1483" w:rsidRPr="00CE1483">
                      <w:rPr>
                        <w:rFonts w:ascii="Garamond" w:hAnsi="Garamond"/>
                        <w:iCs/>
                      </w:rPr>
                      <w:t>e Santayana</w:t>
                    </w:r>
                  </w:p>
                </w:txbxContent>
              </v:textbox>
              <w10:wrap anchorx="margin" anchory="page"/>
            </v:shape>
          </w:pict>
        </mc:Fallback>
      </mc:AlternateContent>
    </w:r>
    <w:r w:rsidRPr="00D21949">
      <w:rPr>
        <w:rFonts w:ascii="Calibri" w:eastAsia="MS Mincho" w:hAnsi="Calibri"/>
        <w:noProof/>
        <w:kern w:val="0"/>
        <w:lang w:eastAsia="es-ES"/>
        <w14:ligatures w14:val="none"/>
      </w:rPr>
      <mc:AlternateContent>
        <mc:Choice Requires="wps">
          <w:drawing>
            <wp:anchor distT="0" distB="0" distL="114300" distR="114300" simplePos="0" relativeHeight="251662336" behindDoc="0" locked="0" layoutInCell="0" allowOverlap="1" wp14:anchorId="60E2961A" wp14:editId="3AD5FF60">
              <wp:simplePos x="0" y="0"/>
              <wp:positionH relativeFrom="leftMargin">
                <wp:posOffset>0</wp:posOffset>
              </wp:positionH>
              <wp:positionV relativeFrom="page">
                <wp:posOffset>353060</wp:posOffset>
              </wp:positionV>
              <wp:extent cx="1080000" cy="180000"/>
              <wp:effectExtent l="0" t="0" r="6350" b="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180000"/>
                      </a:xfrm>
                      <a:prstGeom prst="rect">
                        <a:avLst/>
                      </a:prstGeom>
                      <a:solidFill>
                        <a:srgbClr val="4F81BD"/>
                      </a:solidFill>
                    </wps:spPr>
                    <wps:txbx>
                      <w:txbxContent>
                        <w:p w14:paraId="54BE22E9" w14:textId="77777777" w:rsidR="00A85705" w:rsidRPr="00BF0307" w:rsidRDefault="00A85705" w:rsidP="00A85705">
                          <w:pPr>
                            <w:rPr>
                              <w:color w:val="FFFFFF"/>
                            </w:rPr>
                          </w:pPr>
                          <w:r w:rsidRPr="00BF0307">
                            <w:rPr>
                              <w:color w:val="FFFFFF"/>
                            </w:rPr>
                            <w:fldChar w:fldCharType="begin"/>
                          </w:r>
                          <w:r w:rsidRPr="00BF0307">
                            <w:rPr>
                              <w:color w:val="FFFFFF"/>
                            </w:rPr>
                            <w:instrText>PAGE   \* MERGEFORMAT</w:instrText>
                          </w:r>
                          <w:r w:rsidRPr="00BF0307">
                            <w:rPr>
                              <w:color w:val="FFFFFF"/>
                            </w:rPr>
                            <w:fldChar w:fldCharType="separate"/>
                          </w:r>
                          <w:r w:rsidRPr="00BF0307">
                            <w:rPr>
                              <w:color w:val="FFFFFF"/>
                            </w:rPr>
                            <w:t>4</w:t>
                          </w:r>
                          <w:r w:rsidRPr="00BF0307">
                            <w:rPr>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 w14:anchorId="60E2961A" id="Cuadro de texto 22" o:spid="_x0000_s1027" type="#_x0000_t202" style="position:absolute;left:0;text-align:left;margin-left:0;margin-top:27.8pt;width:85.05pt;height:14.15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" o:allowincell="f" fillcolor="#4f81bd" stroked="f">
              <v:textbox inset=",0,,0">
                <w:txbxContent>
                  <w:p w14:paraId="54BE22E9" w14:textId="77777777" w:rsidR="00A85705" w:rsidRPr="00BF0307" w:rsidRDefault="00A85705" w:rsidP="00A85705">
                    <w:pPr>
                      <w:rPr>
                        <w:color w:val="FFFFFF"/>
                      </w:rPr>
                    </w:pPr>
                    <w:r w:rsidRPr="00BF0307">
                      <w:rPr>
                        <w:color w:val="FFFFFF"/>
                      </w:rPr>
                      <w:fldChar w:fldCharType="begin"/>
                    </w:r>
                    <w:r w:rsidRPr="00BF0307">
                      <w:rPr>
                        <w:color w:val="FFFFFF"/>
                      </w:rPr>
                      <w:instrText>PAGE   \* MERGEFORMAT</w:instrText>
                    </w:r>
                    <w:r w:rsidRPr="00BF0307">
                      <w:rPr>
                        <w:color w:val="FFFFFF"/>
                      </w:rPr>
                      <w:fldChar w:fldCharType="separate"/>
                    </w:r>
                    <w:r w:rsidRPr="00BF0307">
                      <w:rPr>
                        <w:color w:val="FFFFFF"/>
                      </w:rPr>
                      <w:t>4</w:t>
                    </w:r>
                    <w:r w:rsidRPr="00BF0307">
                      <w:rPr>
                        <w:color w:val="FFFFFF"/>
                      </w:rPr>
                      <w:fldChar w:fldCharType="end"/>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8C0B9" w14:textId="77777777" w:rsidR="00DF6DD8" w:rsidRPr="00D21949" w:rsidRDefault="00DF6DD8" w:rsidP="00DF6DD8">
    <w:pPr>
      <w:tabs>
        <w:tab w:val="center" w:pos="4252"/>
        <w:tab w:val="right" w:pos="8504"/>
      </w:tabs>
      <w:rPr>
        <w:rFonts w:ascii="Fira Sans" w:eastAsia="Aptos" w:hAnsi="Fira Sans"/>
        <w:kern w:val="0"/>
        <w:sz w:val="20"/>
        <w14:ligatures w14:val="none"/>
      </w:rPr>
    </w:pPr>
    <w:r w:rsidRPr="00D21949">
      <w:rPr>
        <w:rFonts w:ascii="Calibri" w:eastAsia="MS Mincho" w:hAnsi="Calibri"/>
        <w:noProof/>
        <w:kern w:val="0"/>
        <w:lang w:eastAsia="es-ES"/>
        <w14:ligatures w14:val="none"/>
      </w:rPr>
      <mc:AlternateContent>
        <mc:Choice Requires="wps">
          <w:drawing>
            <wp:anchor distT="0" distB="0" distL="114300" distR="114300" simplePos="0" relativeHeight="251672576" behindDoc="0" locked="0" layoutInCell="0" allowOverlap="1" wp14:anchorId="40867B82" wp14:editId="023CFF46">
              <wp:simplePos x="0" y="0"/>
              <wp:positionH relativeFrom="margin">
                <wp:posOffset>1246809</wp:posOffset>
              </wp:positionH>
              <wp:positionV relativeFrom="page">
                <wp:posOffset>361666</wp:posOffset>
              </wp:positionV>
              <wp:extent cx="4150332" cy="197324"/>
              <wp:effectExtent l="0" t="0" r="0" b="0"/>
              <wp:wrapNone/>
              <wp:docPr id="1022555352" name="Cuadro de texto 1022555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0332" cy="197324"/>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7B60D" w14:textId="532BF2B9" w:rsidR="00DF6DD8" w:rsidRPr="00D21949" w:rsidRDefault="00DF6DD8" w:rsidP="00DF6DD8">
                          <w:pPr>
                            <w:ind w:right="440"/>
                            <w:jc w:val="right"/>
                            <w:rPr>
                              <w:rFonts w:ascii="Garamond" w:hAnsi="Garamond"/>
                              <w:i/>
                            </w:rPr>
                          </w:pPr>
                          <w:r w:rsidRPr="00D21949">
                            <w:rPr>
                              <w:rFonts w:ascii="Garamond" w:hAnsi="Garamond"/>
                            </w:rPr>
                            <w:t xml:space="preserve">  </w:t>
                          </w:r>
                          <w:r w:rsidR="003259C0" w:rsidRPr="00CE1483">
                            <w:rPr>
                              <w:rFonts w:ascii="Garamond" w:hAnsi="Garamond"/>
                            </w:rPr>
                            <w:t>La mutilación genital femenina en</w:t>
                          </w:r>
                          <w:r w:rsidR="003259C0" w:rsidRPr="00D21949">
                            <w:rPr>
                              <w:rFonts w:ascii="Garamond" w:hAnsi="Garamond"/>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0867B82" id="_x0000_t202" coordsize="21600,21600" o:spt="202" path="m,l,21600r21600,l21600,xe">
              <v:stroke joinstyle="miter"/>
              <v:path gradientshapeok="t" o:connecttype="rect"/>
            </v:shapetype>
            <v:shape id="Cuadro de texto 1022555352" o:spid="_x0000_s1028" type="#_x0000_t202" style="position:absolute;margin-left:98.15pt;margin-top:28.5pt;width:326.8pt;height:15.5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" o:allowincell="f" filled="f" stroked="f">
              <v:textbox inset=",0,,0">
                <w:txbxContent>
                  <w:p w14:paraId="0347B60D" w14:textId="532BF2B9" w:rsidR="00DF6DD8" w:rsidRPr="00D21949" w:rsidRDefault="00DF6DD8" w:rsidP="00DF6DD8">
                    <w:pPr>
                      <w:ind w:right="440"/>
                      <w:jc w:val="right"/>
                      <w:rPr>
                        <w:rFonts w:ascii="Garamond" w:hAnsi="Garamond"/>
                        <w:i/>
                      </w:rPr>
                    </w:pPr>
                    <w:r w:rsidRPr="00D21949">
                      <w:rPr>
                        <w:rFonts w:ascii="Garamond" w:hAnsi="Garamond"/>
                      </w:rPr>
                      <w:t xml:space="preserve">  </w:t>
                    </w:r>
                    <w:r w:rsidR="003259C0" w:rsidRPr="00CE1483">
                      <w:rPr>
                        <w:rFonts w:ascii="Garamond" w:hAnsi="Garamond"/>
                      </w:rPr>
                      <w:t>La mutilación genital femenina en</w:t>
                    </w:r>
                    <w:r w:rsidR="003259C0" w:rsidRPr="00D21949">
                      <w:rPr>
                        <w:rFonts w:ascii="Garamond" w:hAnsi="Garamond"/>
                      </w:rPr>
                      <w:t>…</w:t>
                    </w:r>
                  </w:p>
                </w:txbxContent>
              </v:textbox>
              <w10:wrap anchorx="margin" anchory="page"/>
            </v:shape>
          </w:pict>
        </mc:Fallback>
      </mc:AlternateContent>
    </w:r>
    <w:r w:rsidRPr="00D21949">
      <w:rPr>
        <w:rFonts w:ascii="Calibri" w:eastAsia="Calibri" w:hAnsi="Calibri"/>
        <w:noProof/>
        <w:kern w:val="0"/>
        <w:sz w:val="22"/>
        <w:szCs w:val="22"/>
        <w:lang w:eastAsia="es-ES"/>
        <w14:ligatures w14:val="none"/>
      </w:rPr>
      <w:drawing>
        <wp:inline distT="0" distB="0" distL="0" distR="0" wp14:anchorId="7919DA1F" wp14:editId="6FD1D238">
          <wp:extent cx="640080" cy="219710"/>
          <wp:effectExtent l="0" t="0" r="7620" b="8890"/>
          <wp:docPr id="1131915" name="Imagen 1131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219710"/>
                  </a:xfrm>
                  <a:prstGeom prst="rect">
                    <a:avLst/>
                  </a:prstGeom>
                  <a:noFill/>
                </pic:spPr>
              </pic:pic>
            </a:graphicData>
          </a:graphic>
        </wp:inline>
      </w:drawing>
    </w:r>
    <w:r w:rsidRPr="00D21949">
      <w:rPr>
        <w:rFonts w:ascii="Calibri" w:eastAsia="MS Mincho" w:hAnsi="Calibri"/>
        <w:noProof/>
        <w:kern w:val="0"/>
        <w:lang w:eastAsia="es-ES"/>
        <w14:ligatures w14:val="none"/>
      </w:rPr>
      <mc:AlternateContent>
        <mc:Choice Requires="wps">
          <w:drawing>
            <wp:anchor distT="0" distB="0" distL="114300" distR="114300" simplePos="0" relativeHeight="251671552" behindDoc="0" locked="0" layoutInCell="0" allowOverlap="1" wp14:anchorId="5F7AA1F5" wp14:editId="7D3AA2F9">
              <wp:simplePos x="0" y="0"/>
              <wp:positionH relativeFrom="page">
                <wp:align>right</wp:align>
              </wp:positionH>
              <wp:positionV relativeFrom="page">
                <wp:posOffset>353060</wp:posOffset>
              </wp:positionV>
              <wp:extent cx="1080000" cy="180000"/>
              <wp:effectExtent l="0" t="0" r="6350" b="0"/>
              <wp:wrapNone/>
              <wp:docPr id="1721963947" name="Cuadro de texto 17219639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180000"/>
                      </a:xfrm>
                      <a:prstGeom prst="rect">
                        <a:avLst/>
                      </a:prstGeom>
                      <a:solidFill>
                        <a:srgbClr val="4F81BD"/>
                      </a:solidFill>
                    </wps:spPr>
                    <wps:txbx>
                      <w:txbxContent>
                        <w:p w14:paraId="68F07EA2" w14:textId="77777777" w:rsidR="00DF6DD8" w:rsidRPr="00D21949" w:rsidRDefault="00DF6DD8" w:rsidP="00DF6DD8">
                          <w:pPr>
                            <w:rPr>
                              <w:color w:val="FFFFFF"/>
                            </w:rPr>
                          </w:pPr>
                          <w:r w:rsidRPr="00D21949">
                            <w:rPr>
                              <w:color w:val="FFFFFF"/>
                            </w:rPr>
                            <w:fldChar w:fldCharType="begin"/>
                          </w:r>
                          <w:r w:rsidRPr="00D21949">
                            <w:rPr>
                              <w:color w:val="FFFFFF"/>
                            </w:rPr>
                            <w:instrText>PAGE   \* MERGEFORMAT</w:instrText>
                          </w:r>
                          <w:r w:rsidRPr="00D21949">
                            <w:rPr>
                              <w:color w:val="FFFFFF"/>
                            </w:rPr>
                            <w:fldChar w:fldCharType="separate"/>
                          </w:r>
                          <w:r w:rsidRPr="00D21949">
                            <w:rPr>
                              <w:color w:val="FFFFFF"/>
                            </w:rPr>
                            <w:t>3</w:t>
                          </w:r>
                          <w:r w:rsidRPr="00D21949">
                            <w:rPr>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 w14:anchorId="5F7AA1F5" id="Cuadro de texto 1721963947" o:spid="_x0000_s1029" type="#_x0000_t202" style="position:absolute;margin-left:33.85pt;margin-top:27.8pt;width:85.05pt;height:14.15pt;z-index:25167155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" o:allowincell="f" fillcolor="#4f81bd" stroked="f">
              <v:textbox inset=",0,,0">
                <w:txbxContent>
                  <w:p w14:paraId="68F07EA2" w14:textId="77777777" w:rsidR="00DF6DD8" w:rsidRPr="00D21949" w:rsidRDefault="00DF6DD8" w:rsidP="00DF6DD8">
                    <w:pPr>
                      <w:rPr>
                        <w:color w:val="FFFFFF"/>
                      </w:rPr>
                    </w:pPr>
                    <w:r w:rsidRPr="00D21949">
                      <w:rPr>
                        <w:color w:val="FFFFFF"/>
                      </w:rPr>
                      <w:fldChar w:fldCharType="begin"/>
                    </w:r>
                    <w:r w:rsidRPr="00D21949">
                      <w:rPr>
                        <w:color w:val="FFFFFF"/>
                      </w:rPr>
                      <w:instrText>PAGE   \* MERGEFORMAT</w:instrText>
                    </w:r>
                    <w:r w:rsidRPr="00D21949">
                      <w:rPr>
                        <w:color w:val="FFFFFF"/>
                      </w:rPr>
                      <w:fldChar w:fldCharType="separate"/>
                    </w:r>
                    <w:r w:rsidRPr="00D21949">
                      <w:rPr>
                        <w:color w:val="FFFFFF"/>
                      </w:rPr>
                      <w:t>3</w:t>
                    </w:r>
                    <w:r w:rsidRPr="00D21949">
                      <w:rPr>
                        <w:color w:val="FFFFFF"/>
                      </w:rPr>
                      <w:fldChar w:fldCharType="end"/>
                    </w:r>
                  </w:p>
                </w:txbxContent>
              </v:textbox>
              <w10:wrap anchorx="page" anchory="page"/>
            </v:shape>
          </w:pict>
        </mc:Fallback>
      </mc:AlternateContent>
    </w:r>
  </w:p>
  <w:p w14:paraId="272427BB" w14:textId="77777777" w:rsidR="005707D6" w:rsidRPr="00D21949" w:rsidRDefault="005707D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2E926" w14:textId="77777777" w:rsidR="00B83742" w:rsidRPr="00D21949" w:rsidRDefault="00B83742" w:rsidP="00B83742">
    <w:pPr>
      <w:tabs>
        <w:tab w:val="center" w:pos="4252"/>
        <w:tab w:val="right" w:pos="8504"/>
      </w:tabs>
      <w:rPr>
        <w:rFonts w:ascii="Fira Sans" w:eastAsia="Aptos" w:hAnsi="Fira Sans"/>
        <w:kern w:val="0"/>
        <w:sz w:val="20"/>
        <w14:ligatures w14:val="none"/>
      </w:rPr>
    </w:pPr>
    <w:r w:rsidRPr="00D21949">
      <w:rPr>
        <w:rFonts w:ascii="Calibri" w:eastAsia="MS Mincho" w:hAnsi="Calibri"/>
        <w:noProof/>
        <w:kern w:val="0"/>
        <w:lang w:eastAsia="es-ES"/>
        <w14:ligatures w14:val="none"/>
      </w:rPr>
      <mc:AlternateContent>
        <mc:Choice Requires="wps">
          <w:drawing>
            <wp:anchor distT="0" distB="0" distL="114300" distR="114300" simplePos="0" relativeHeight="251660288" behindDoc="0" locked="0" layoutInCell="0" allowOverlap="1" wp14:anchorId="1C870EC7" wp14:editId="6C249113">
              <wp:simplePos x="0" y="0"/>
              <wp:positionH relativeFrom="margin">
                <wp:posOffset>1246809</wp:posOffset>
              </wp:positionH>
              <wp:positionV relativeFrom="page">
                <wp:posOffset>361666</wp:posOffset>
              </wp:positionV>
              <wp:extent cx="4150332" cy="197324"/>
              <wp:effectExtent l="0" t="0" r="0" b="0"/>
              <wp:wrapNone/>
              <wp:docPr id="933195614" name="Cuadro de texto 933195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0332" cy="197324"/>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BB82C" w14:textId="684452C9" w:rsidR="00B83742" w:rsidRPr="00D21949" w:rsidRDefault="00B83742" w:rsidP="00B83742">
                          <w:pPr>
                            <w:ind w:right="440"/>
                            <w:jc w:val="right"/>
                            <w:rPr>
                              <w:rFonts w:ascii="Garamond" w:hAnsi="Garamond"/>
                              <w:i/>
                            </w:rPr>
                          </w:pPr>
                          <w:r w:rsidRPr="00D21949">
                            <w:rPr>
                              <w:rFonts w:ascii="Garamond" w:hAnsi="Garamond"/>
                            </w:rPr>
                            <w:t xml:space="preserve">  </w:t>
                          </w:r>
                          <w:r w:rsidR="00CE1483" w:rsidRPr="00CE1483">
                            <w:rPr>
                              <w:rFonts w:ascii="Garamond" w:hAnsi="Garamond"/>
                            </w:rPr>
                            <w:t>La mutilación genital femenina en</w:t>
                          </w:r>
                          <w:r w:rsidR="00CB6EAB" w:rsidRPr="00D21949">
                            <w:rPr>
                              <w:rFonts w:ascii="Garamond" w:hAnsi="Garamond"/>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C870EC7" id="_x0000_t202" coordsize="21600,21600" o:spt="202" path="m,l,21600r21600,l21600,xe">
              <v:stroke joinstyle="miter"/>
              <v:path gradientshapeok="t" o:connecttype="rect"/>
            </v:shapetype>
            <v:shape id="Cuadro de texto 933195614" o:spid="_x0000_s1030" type="#_x0000_t202" style="position:absolute;margin-left:98.15pt;margin-top:28.5pt;width:326.8pt;height:15.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" o:allowincell="f" filled="f" stroked="f">
              <v:textbox inset=",0,,0">
                <w:txbxContent>
                  <w:p w14:paraId="16ABB82C" w14:textId="684452C9" w:rsidR="00B83742" w:rsidRPr="00D21949" w:rsidRDefault="00B83742" w:rsidP="00B83742">
                    <w:pPr>
                      <w:ind w:right="440"/>
                      <w:jc w:val="right"/>
                      <w:rPr>
                        <w:rFonts w:ascii="Garamond" w:hAnsi="Garamond"/>
                        <w:i/>
                      </w:rPr>
                    </w:pPr>
                    <w:r w:rsidRPr="00D21949">
                      <w:rPr>
                        <w:rFonts w:ascii="Garamond" w:hAnsi="Garamond"/>
                      </w:rPr>
                      <w:t xml:space="preserve">  </w:t>
                    </w:r>
                    <w:r w:rsidR="00CE1483" w:rsidRPr="00CE1483">
                      <w:rPr>
                        <w:rFonts w:ascii="Garamond" w:hAnsi="Garamond"/>
                      </w:rPr>
                      <w:t>La mutilación genital femenina en</w:t>
                    </w:r>
                    <w:r w:rsidR="00CB6EAB" w:rsidRPr="00D21949">
                      <w:rPr>
                        <w:rFonts w:ascii="Garamond" w:hAnsi="Garamond"/>
                      </w:rPr>
                      <w:t>…</w:t>
                    </w:r>
                  </w:p>
                </w:txbxContent>
              </v:textbox>
              <w10:wrap anchorx="margin" anchory="page"/>
            </v:shape>
          </w:pict>
        </mc:Fallback>
      </mc:AlternateContent>
    </w:r>
    <w:r w:rsidRPr="00D21949">
      <w:rPr>
        <w:rFonts w:ascii="Calibri" w:eastAsia="Calibri" w:hAnsi="Calibri"/>
        <w:noProof/>
        <w:kern w:val="0"/>
        <w:sz w:val="22"/>
        <w:szCs w:val="22"/>
        <w:lang w:eastAsia="es-ES"/>
        <w14:ligatures w14:val="none"/>
      </w:rPr>
      <w:drawing>
        <wp:inline distT="0" distB="0" distL="0" distR="0" wp14:anchorId="5AAB98D8" wp14:editId="04137B2D">
          <wp:extent cx="640080" cy="219710"/>
          <wp:effectExtent l="0" t="0" r="7620" b="8890"/>
          <wp:docPr id="92342668" name="Imagen 92342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219710"/>
                  </a:xfrm>
                  <a:prstGeom prst="rect">
                    <a:avLst/>
                  </a:prstGeom>
                  <a:noFill/>
                </pic:spPr>
              </pic:pic>
            </a:graphicData>
          </a:graphic>
        </wp:inline>
      </w:drawing>
    </w:r>
    <w:r w:rsidRPr="00D21949">
      <w:rPr>
        <w:rFonts w:ascii="Calibri" w:eastAsia="MS Mincho" w:hAnsi="Calibri"/>
        <w:noProof/>
        <w:kern w:val="0"/>
        <w:lang w:eastAsia="es-ES"/>
        <w14:ligatures w14:val="none"/>
      </w:rPr>
      <mc:AlternateContent>
        <mc:Choice Requires="wps">
          <w:drawing>
            <wp:anchor distT="0" distB="0" distL="114300" distR="114300" simplePos="0" relativeHeight="251659264" behindDoc="0" locked="0" layoutInCell="0" allowOverlap="1" wp14:anchorId="7A69259E" wp14:editId="337B1C2B">
              <wp:simplePos x="0" y="0"/>
              <wp:positionH relativeFrom="page">
                <wp:align>right</wp:align>
              </wp:positionH>
              <wp:positionV relativeFrom="page">
                <wp:posOffset>353060</wp:posOffset>
              </wp:positionV>
              <wp:extent cx="1080000" cy="180000"/>
              <wp:effectExtent l="0" t="0" r="6350" b="0"/>
              <wp:wrapNone/>
              <wp:docPr id="565513826" name="Cuadro de texto 565513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180000"/>
                      </a:xfrm>
                      <a:prstGeom prst="rect">
                        <a:avLst/>
                      </a:prstGeom>
                      <a:solidFill>
                        <a:srgbClr val="4F81BD"/>
                      </a:solidFill>
                    </wps:spPr>
                    <wps:txbx>
                      <w:txbxContent>
                        <w:p w14:paraId="2E2706EA" w14:textId="77777777" w:rsidR="00B83742" w:rsidRPr="00D21949" w:rsidRDefault="00B83742" w:rsidP="00B83742">
                          <w:pPr>
                            <w:rPr>
                              <w:color w:val="FFFFFF"/>
                            </w:rPr>
                          </w:pPr>
                          <w:r w:rsidRPr="00D21949">
                            <w:rPr>
                              <w:color w:val="FFFFFF"/>
                            </w:rPr>
                            <w:fldChar w:fldCharType="begin"/>
                          </w:r>
                          <w:r w:rsidRPr="00D21949">
                            <w:rPr>
                              <w:color w:val="FFFFFF"/>
                            </w:rPr>
                            <w:instrText>PAGE   \* MERGEFORMAT</w:instrText>
                          </w:r>
                          <w:r w:rsidRPr="00D21949">
                            <w:rPr>
                              <w:color w:val="FFFFFF"/>
                            </w:rPr>
                            <w:fldChar w:fldCharType="separate"/>
                          </w:r>
                          <w:r w:rsidRPr="00D21949">
                            <w:rPr>
                              <w:color w:val="FFFFFF"/>
                            </w:rPr>
                            <w:t>3</w:t>
                          </w:r>
                          <w:r w:rsidRPr="00D21949">
                            <w:rPr>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 w14:anchorId="7A69259E" id="Cuadro de texto 565513826" o:spid="_x0000_s1031" type="#_x0000_t202" style="position:absolute;margin-left:33.85pt;margin-top:27.8pt;width:85.05pt;height:14.1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" o:allowincell="f" fillcolor="#4f81bd" stroked="f">
              <v:textbox inset=",0,,0">
                <w:txbxContent>
                  <w:p w14:paraId="2E2706EA" w14:textId="77777777" w:rsidR="00B83742" w:rsidRPr="00D21949" w:rsidRDefault="00B83742" w:rsidP="00B83742">
                    <w:pPr>
                      <w:rPr>
                        <w:color w:val="FFFFFF"/>
                      </w:rPr>
                    </w:pPr>
                    <w:r w:rsidRPr="00D21949">
                      <w:rPr>
                        <w:color w:val="FFFFFF"/>
                      </w:rPr>
                      <w:fldChar w:fldCharType="begin"/>
                    </w:r>
                    <w:r w:rsidRPr="00D21949">
                      <w:rPr>
                        <w:color w:val="FFFFFF"/>
                      </w:rPr>
                      <w:instrText>PAGE   \* MERGEFORMAT</w:instrText>
                    </w:r>
                    <w:r w:rsidRPr="00D21949">
                      <w:rPr>
                        <w:color w:val="FFFFFF"/>
                      </w:rPr>
                      <w:fldChar w:fldCharType="separate"/>
                    </w:r>
                    <w:r w:rsidRPr="00D21949">
                      <w:rPr>
                        <w:color w:val="FFFFFF"/>
                      </w:rPr>
                      <w:t>3</w:t>
                    </w:r>
                    <w:r w:rsidRPr="00D21949">
                      <w:rPr>
                        <w:color w:val="FFFFFF"/>
                      </w:rPr>
                      <w:fldChar w:fldCharType="end"/>
                    </w:r>
                  </w:p>
                </w:txbxContent>
              </v:textbox>
              <w10:wrap anchorx="page" anchory="page"/>
            </v:shape>
          </w:pict>
        </mc:Fallback>
      </mc:AlternateContent>
    </w:r>
  </w:p>
  <w:p w14:paraId="1BF3F119" w14:textId="77777777" w:rsidR="002B77D4" w:rsidRPr="00D21949" w:rsidRDefault="002B77D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4DE4"/>
    <w:multiLevelType w:val="hybridMultilevel"/>
    <w:tmpl w:val="CBDEAD0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6E089F"/>
    <w:multiLevelType w:val="multilevel"/>
    <w:tmpl w:val="E754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0597D"/>
    <w:multiLevelType w:val="hybridMultilevel"/>
    <w:tmpl w:val="2222E79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1B071A1"/>
    <w:multiLevelType w:val="hybridMultilevel"/>
    <w:tmpl w:val="67E2AC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4490AB7"/>
    <w:multiLevelType w:val="hybridMultilevel"/>
    <w:tmpl w:val="D8F4C27E"/>
    <w:lvl w:ilvl="0" w:tplc="9FCCFE64">
      <w:start w:val="1"/>
      <w:numFmt w:val="lowerLetter"/>
      <w:lvlText w:val="%1)"/>
      <w:lvlJc w:val="left"/>
      <w:pPr>
        <w:tabs>
          <w:tab w:val="num" w:pos="840"/>
        </w:tabs>
        <w:ind w:left="840" w:hanging="360"/>
      </w:pPr>
      <w:rPr>
        <w:rFonts w:hint="default"/>
      </w:r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5" w15:restartNumberingAfterBreak="0">
    <w:nsid w:val="383209E3"/>
    <w:multiLevelType w:val="hybridMultilevel"/>
    <w:tmpl w:val="F0A8E6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A133A81"/>
    <w:multiLevelType w:val="hybridMultilevel"/>
    <w:tmpl w:val="9E9EB5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E840A5F"/>
    <w:multiLevelType w:val="hybridMultilevel"/>
    <w:tmpl w:val="3A64803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2BE2C43"/>
    <w:multiLevelType w:val="hybridMultilevel"/>
    <w:tmpl w:val="A64635CC"/>
    <w:lvl w:ilvl="0" w:tplc="8F008E24">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9" w15:restartNumberingAfterBreak="0">
    <w:nsid w:val="5A8F67BD"/>
    <w:multiLevelType w:val="hybridMultilevel"/>
    <w:tmpl w:val="0854F198"/>
    <w:lvl w:ilvl="0" w:tplc="5B0E83A6">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0" w15:restartNumberingAfterBreak="0">
    <w:nsid w:val="5B5502D0"/>
    <w:multiLevelType w:val="hybridMultilevel"/>
    <w:tmpl w:val="4566DFE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E7E5612"/>
    <w:multiLevelType w:val="hybridMultilevel"/>
    <w:tmpl w:val="3878DCA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66CF5BEB"/>
    <w:multiLevelType w:val="hybridMultilevel"/>
    <w:tmpl w:val="F9B8AD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D411905"/>
    <w:multiLevelType w:val="hybridMultilevel"/>
    <w:tmpl w:val="6DF234E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01A5E28"/>
    <w:multiLevelType w:val="hybridMultilevel"/>
    <w:tmpl w:val="CC6C0AE0"/>
    <w:lvl w:ilvl="0" w:tplc="5AE202AC">
      <w:start w:val="1"/>
      <w:numFmt w:val="lowerLetter"/>
      <w:lvlText w:val="%1)"/>
      <w:lvlJc w:val="left"/>
      <w:pPr>
        <w:tabs>
          <w:tab w:val="num" w:pos="780"/>
        </w:tabs>
        <w:ind w:left="780" w:hanging="36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5" w15:restartNumberingAfterBreak="0">
    <w:nsid w:val="75DE283D"/>
    <w:multiLevelType w:val="hybridMultilevel"/>
    <w:tmpl w:val="7DFE1BE8"/>
    <w:lvl w:ilvl="0" w:tplc="8E54D4A6">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16cid:durableId="1415666244">
    <w:abstractNumId w:val="14"/>
  </w:num>
  <w:num w:numId="2" w16cid:durableId="819544560">
    <w:abstractNumId w:val="13"/>
  </w:num>
  <w:num w:numId="3" w16cid:durableId="1334381256">
    <w:abstractNumId w:val="11"/>
  </w:num>
  <w:num w:numId="4" w16cid:durableId="1512909359">
    <w:abstractNumId w:val="7"/>
  </w:num>
  <w:num w:numId="5" w16cid:durableId="1962834208">
    <w:abstractNumId w:val="2"/>
  </w:num>
  <w:num w:numId="6" w16cid:durableId="68619436">
    <w:abstractNumId w:val="10"/>
  </w:num>
  <w:num w:numId="7" w16cid:durableId="1327589463">
    <w:abstractNumId w:val="4"/>
  </w:num>
  <w:num w:numId="8" w16cid:durableId="1045133151">
    <w:abstractNumId w:val="8"/>
  </w:num>
  <w:num w:numId="9" w16cid:durableId="874929492">
    <w:abstractNumId w:val="9"/>
  </w:num>
  <w:num w:numId="10" w16cid:durableId="1543635332">
    <w:abstractNumId w:val="15"/>
  </w:num>
  <w:num w:numId="11" w16cid:durableId="1247954292">
    <w:abstractNumId w:val="1"/>
  </w:num>
  <w:num w:numId="12" w16cid:durableId="1345740876">
    <w:abstractNumId w:val="12"/>
  </w:num>
  <w:num w:numId="13" w16cid:durableId="1818760899">
    <w:abstractNumId w:val="0"/>
  </w:num>
  <w:num w:numId="14" w16cid:durableId="610623829">
    <w:abstractNumId w:val="6"/>
  </w:num>
  <w:num w:numId="15" w16cid:durableId="495650643">
    <w:abstractNumId w:val="5"/>
  </w:num>
  <w:num w:numId="16" w16cid:durableId="643975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282"/>
    <w:rsid w:val="00011EDE"/>
    <w:rsid w:val="0001402E"/>
    <w:rsid w:val="00057A1C"/>
    <w:rsid w:val="00057E50"/>
    <w:rsid w:val="00067CE3"/>
    <w:rsid w:val="00080D10"/>
    <w:rsid w:val="00082255"/>
    <w:rsid w:val="000A3E1B"/>
    <w:rsid w:val="000C1773"/>
    <w:rsid w:val="000C257D"/>
    <w:rsid w:val="000C7A11"/>
    <w:rsid w:val="000E21B3"/>
    <w:rsid w:val="000F45FC"/>
    <w:rsid w:val="00107D51"/>
    <w:rsid w:val="00120896"/>
    <w:rsid w:val="0012677A"/>
    <w:rsid w:val="00130157"/>
    <w:rsid w:val="00142D4E"/>
    <w:rsid w:val="00150ECE"/>
    <w:rsid w:val="00154346"/>
    <w:rsid w:val="0017250A"/>
    <w:rsid w:val="001768D3"/>
    <w:rsid w:val="00180EA0"/>
    <w:rsid w:val="0018171E"/>
    <w:rsid w:val="0018571B"/>
    <w:rsid w:val="001C7CF9"/>
    <w:rsid w:val="001D0F73"/>
    <w:rsid w:val="001F1760"/>
    <w:rsid w:val="001F6938"/>
    <w:rsid w:val="002119E5"/>
    <w:rsid w:val="00214E34"/>
    <w:rsid w:val="00233EC5"/>
    <w:rsid w:val="00242469"/>
    <w:rsid w:val="00247CF4"/>
    <w:rsid w:val="00276B0B"/>
    <w:rsid w:val="00281CD6"/>
    <w:rsid w:val="00285C8C"/>
    <w:rsid w:val="002A1539"/>
    <w:rsid w:val="002B58CC"/>
    <w:rsid w:val="002B5E0F"/>
    <w:rsid w:val="002B7312"/>
    <w:rsid w:val="002B77D4"/>
    <w:rsid w:val="002C4523"/>
    <w:rsid w:val="002D687C"/>
    <w:rsid w:val="002F370F"/>
    <w:rsid w:val="002F423F"/>
    <w:rsid w:val="0031296F"/>
    <w:rsid w:val="00317398"/>
    <w:rsid w:val="00322D06"/>
    <w:rsid w:val="00324639"/>
    <w:rsid w:val="003259C0"/>
    <w:rsid w:val="003358D1"/>
    <w:rsid w:val="00336112"/>
    <w:rsid w:val="0033671B"/>
    <w:rsid w:val="00341ECF"/>
    <w:rsid w:val="0034363A"/>
    <w:rsid w:val="00344061"/>
    <w:rsid w:val="00356D12"/>
    <w:rsid w:val="00360AED"/>
    <w:rsid w:val="00382091"/>
    <w:rsid w:val="00385E45"/>
    <w:rsid w:val="003903E5"/>
    <w:rsid w:val="003E0BA6"/>
    <w:rsid w:val="0042060A"/>
    <w:rsid w:val="00421060"/>
    <w:rsid w:val="00432EA1"/>
    <w:rsid w:val="004338AF"/>
    <w:rsid w:val="00434142"/>
    <w:rsid w:val="0043468D"/>
    <w:rsid w:val="00436711"/>
    <w:rsid w:val="004410FA"/>
    <w:rsid w:val="00441487"/>
    <w:rsid w:val="0044383A"/>
    <w:rsid w:val="004554C3"/>
    <w:rsid w:val="00455721"/>
    <w:rsid w:val="00456C94"/>
    <w:rsid w:val="004710DF"/>
    <w:rsid w:val="00474A75"/>
    <w:rsid w:val="00476B8E"/>
    <w:rsid w:val="00481D7A"/>
    <w:rsid w:val="00482015"/>
    <w:rsid w:val="00482BD7"/>
    <w:rsid w:val="00486982"/>
    <w:rsid w:val="004A0422"/>
    <w:rsid w:val="004A7C6D"/>
    <w:rsid w:val="004B7EBF"/>
    <w:rsid w:val="004E0D9B"/>
    <w:rsid w:val="004F60B9"/>
    <w:rsid w:val="00501FE3"/>
    <w:rsid w:val="00521980"/>
    <w:rsid w:val="0053247B"/>
    <w:rsid w:val="0053374A"/>
    <w:rsid w:val="00534CDF"/>
    <w:rsid w:val="00557E6C"/>
    <w:rsid w:val="005707D6"/>
    <w:rsid w:val="00574FBF"/>
    <w:rsid w:val="005758CB"/>
    <w:rsid w:val="005821C8"/>
    <w:rsid w:val="005828A4"/>
    <w:rsid w:val="00583D5C"/>
    <w:rsid w:val="00586936"/>
    <w:rsid w:val="00586962"/>
    <w:rsid w:val="00592259"/>
    <w:rsid w:val="00594986"/>
    <w:rsid w:val="00596DB6"/>
    <w:rsid w:val="005A587C"/>
    <w:rsid w:val="005C112F"/>
    <w:rsid w:val="005C25CE"/>
    <w:rsid w:val="005E6F0F"/>
    <w:rsid w:val="005E7AA3"/>
    <w:rsid w:val="005F1197"/>
    <w:rsid w:val="005F6E25"/>
    <w:rsid w:val="00601433"/>
    <w:rsid w:val="00602D9D"/>
    <w:rsid w:val="00607DDB"/>
    <w:rsid w:val="00611F67"/>
    <w:rsid w:val="006203D2"/>
    <w:rsid w:val="006431BB"/>
    <w:rsid w:val="00663A95"/>
    <w:rsid w:val="0066716C"/>
    <w:rsid w:val="0066758E"/>
    <w:rsid w:val="0067101B"/>
    <w:rsid w:val="00673BC4"/>
    <w:rsid w:val="006A5D42"/>
    <w:rsid w:val="006A683E"/>
    <w:rsid w:val="006C1A96"/>
    <w:rsid w:val="006D13A1"/>
    <w:rsid w:val="006F2165"/>
    <w:rsid w:val="006F6F82"/>
    <w:rsid w:val="007002C8"/>
    <w:rsid w:val="00706AB1"/>
    <w:rsid w:val="00712592"/>
    <w:rsid w:val="00743024"/>
    <w:rsid w:val="00764332"/>
    <w:rsid w:val="00771A0D"/>
    <w:rsid w:val="00774EEA"/>
    <w:rsid w:val="007767EB"/>
    <w:rsid w:val="00777026"/>
    <w:rsid w:val="00794B81"/>
    <w:rsid w:val="007A46AD"/>
    <w:rsid w:val="007A6266"/>
    <w:rsid w:val="007B0C88"/>
    <w:rsid w:val="007C4743"/>
    <w:rsid w:val="007D06D0"/>
    <w:rsid w:val="007D6D7A"/>
    <w:rsid w:val="007F36EE"/>
    <w:rsid w:val="007F6E07"/>
    <w:rsid w:val="0082112B"/>
    <w:rsid w:val="008358C4"/>
    <w:rsid w:val="008437F7"/>
    <w:rsid w:val="0085488F"/>
    <w:rsid w:val="00855689"/>
    <w:rsid w:val="0086642D"/>
    <w:rsid w:val="008A24BD"/>
    <w:rsid w:val="008C75D8"/>
    <w:rsid w:val="008F6988"/>
    <w:rsid w:val="00930580"/>
    <w:rsid w:val="00937BED"/>
    <w:rsid w:val="00941F2B"/>
    <w:rsid w:val="0095577A"/>
    <w:rsid w:val="0096367D"/>
    <w:rsid w:val="0097583D"/>
    <w:rsid w:val="009A41CE"/>
    <w:rsid w:val="009F3D28"/>
    <w:rsid w:val="009F56E0"/>
    <w:rsid w:val="00A06429"/>
    <w:rsid w:val="00A0796B"/>
    <w:rsid w:val="00A14391"/>
    <w:rsid w:val="00A22CDF"/>
    <w:rsid w:val="00A32B2E"/>
    <w:rsid w:val="00A37B98"/>
    <w:rsid w:val="00A51256"/>
    <w:rsid w:val="00A55286"/>
    <w:rsid w:val="00A663CF"/>
    <w:rsid w:val="00A7003A"/>
    <w:rsid w:val="00A83A68"/>
    <w:rsid w:val="00A85705"/>
    <w:rsid w:val="00A85BA0"/>
    <w:rsid w:val="00A91C21"/>
    <w:rsid w:val="00A92D72"/>
    <w:rsid w:val="00A935AB"/>
    <w:rsid w:val="00A97F8C"/>
    <w:rsid w:val="00AB6A7C"/>
    <w:rsid w:val="00AB6DFB"/>
    <w:rsid w:val="00AD1649"/>
    <w:rsid w:val="00AD7036"/>
    <w:rsid w:val="00AE1ECB"/>
    <w:rsid w:val="00AF32DB"/>
    <w:rsid w:val="00B06F3B"/>
    <w:rsid w:val="00B117CD"/>
    <w:rsid w:val="00B176C4"/>
    <w:rsid w:val="00B318FA"/>
    <w:rsid w:val="00B507C0"/>
    <w:rsid w:val="00B777C2"/>
    <w:rsid w:val="00B83742"/>
    <w:rsid w:val="00B86F9B"/>
    <w:rsid w:val="00BA1DE4"/>
    <w:rsid w:val="00BC2BF3"/>
    <w:rsid w:val="00BC615D"/>
    <w:rsid w:val="00BC7282"/>
    <w:rsid w:val="00BD51D0"/>
    <w:rsid w:val="00BE081C"/>
    <w:rsid w:val="00BE3177"/>
    <w:rsid w:val="00BF0307"/>
    <w:rsid w:val="00C03125"/>
    <w:rsid w:val="00C043B0"/>
    <w:rsid w:val="00C0681A"/>
    <w:rsid w:val="00C079D8"/>
    <w:rsid w:val="00C122C8"/>
    <w:rsid w:val="00C2298E"/>
    <w:rsid w:val="00C47B10"/>
    <w:rsid w:val="00C51450"/>
    <w:rsid w:val="00C518D0"/>
    <w:rsid w:val="00C55406"/>
    <w:rsid w:val="00C56E23"/>
    <w:rsid w:val="00C63826"/>
    <w:rsid w:val="00C6446B"/>
    <w:rsid w:val="00C7075A"/>
    <w:rsid w:val="00C733B6"/>
    <w:rsid w:val="00C75B95"/>
    <w:rsid w:val="00C82660"/>
    <w:rsid w:val="00C961D3"/>
    <w:rsid w:val="00C97289"/>
    <w:rsid w:val="00CB50DB"/>
    <w:rsid w:val="00CB6027"/>
    <w:rsid w:val="00CB6EAB"/>
    <w:rsid w:val="00CC6114"/>
    <w:rsid w:val="00CD2CD0"/>
    <w:rsid w:val="00CD36B6"/>
    <w:rsid w:val="00CE1483"/>
    <w:rsid w:val="00D03686"/>
    <w:rsid w:val="00D174F5"/>
    <w:rsid w:val="00D21949"/>
    <w:rsid w:val="00D315DD"/>
    <w:rsid w:val="00D41E81"/>
    <w:rsid w:val="00D50CF2"/>
    <w:rsid w:val="00D52A86"/>
    <w:rsid w:val="00D554D9"/>
    <w:rsid w:val="00D7707E"/>
    <w:rsid w:val="00DA1AF9"/>
    <w:rsid w:val="00DA37DE"/>
    <w:rsid w:val="00DE7C9F"/>
    <w:rsid w:val="00DF4A54"/>
    <w:rsid w:val="00DF5FD7"/>
    <w:rsid w:val="00DF6DD8"/>
    <w:rsid w:val="00E27146"/>
    <w:rsid w:val="00E53B07"/>
    <w:rsid w:val="00E5485A"/>
    <w:rsid w:val="00E60519"/>
    <w:rsid w:val="00E713FB"/>
    <w:rsid w:val="00ED4C0C"/>
    <w:rsid w:val="00ED761F"/>
    <w:rsid w:val="00F04CF1"/>
    <w:rsid w:val="00F07E25"/>
    <w:rsid w:val="00F3131D"/>
    <w:rsid w:val="00F4512F"/>
    <w:rsid w:val="00F623BA"/>
    <w:rsid w:val="00F635C3"/>
    <w:rsid w:val="00F83874"/>
    <w:rsid w:val="00F84A5C"/>
    <w:rsid w:val="00F97D9A"/>
    <w:rsid w:val="00FA6D5E"/>
    <w:rsid w:val="00FB2099"/>
    <w:rsid w:val="00FB61D8"/>
    <w:rsid w:val="00FD0D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0E554"/>
  <w15:chartTrackingRefBased/>
  <w15:docId w15:val="{416D297E-E0F7-4858-B9A3-88289238A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BC7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nhideWhenUsed/>
    <w:qFormat/>
    <w:rsid w:val="00BC7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C728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C728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C7282"/>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BC7282"/>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BC7282"/>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BC7282"/>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BC7282"/>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C728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C728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C7282"/>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C7282"/>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BC7282"/>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BC7282"/>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BC7282"/>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BC7282"/>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BC7282"/>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BC728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C728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C72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C7282"/>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C728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C7282"/>
    <w:rPr>
      <w:i/>
      <w:iCs/>
      <w:color w:val="404040" w:themeColor="text1" w:themeTint="BF"/>
    </w:rPr>
  </w:style>
  <w:style w:type="paragraph" w:styleId="Paragrafoelenco">
    <w:name w:val="List Paragraph"/>
    <w:basedOn w:val="Normale"/>
    <w:uiPriority w:val="34"/>
    <w:qFormat/>
    <w:rsid w:val="00BC7282"/>
    <w:pPr>
      <w:ind w:left="720"/>
      <w:contextualSpacing/>
    </w:pPr>
  </w:style>
  <w:style w:type="character" w:styleId="Enfasiintensa">
    <w:name w:val="Intense Emphasis"/>
    <w:basedOn w:val="Carpredefinitoparagrafo"/>
    <w:uiPriority w:val="21"/>
    <w:qFormat/>
    <w:rsid w:val="00BC7282"/>
    <w:rPr>
      <w:i/>
      <w:iCs/>
      <w:color w:val="0F4761" w:themeColor="accent1" w:themeShade="BF"/>
    </w:rPr>
  </w:style>
  <w:style w:type="paragraph" w:styleId="Citazioneintensa">
    <w:name w:val="Intense Quote"/>
    <w:basedOn w:val="Normale"/>
    <w:next w:val="Normale"/>
    <w:link w:val="CitazioneintensaCarattere"/>
    <w:uiPriority w:val="30"/>
    <w:qFormat/>
    <w:rsid w:val="00BC7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C7282"/>
    <w:rPr>
      <w:i/>
      <w:iCs/>
      <w:color w:val="0F4761" w:themeColor="accent1" w:themeShade="BF"/>
    </w:rPr>
  </w:style>
  <w:style w:type="character" w:styleId="Riferimentointenso">
    <w:name w:val="Intense Reference"/>
    <w:basedOn w:val="Carpredefinitoparagrafo"/>
    <w:uiPriority w:val="32"/>
    <w:qFormat/>
    <w:rsid w:val="00BC7282"/>
    <w:rPr>
      <w:b/>
      <w:bCs/>
      <w:smallCaps/>
      <w:color w:val="0F4761" w:themeColor="accent1" w:themeShade="BF"/>
      <w:spacing w:val="5"/>
    </w:rPr>
  </w:style>
  <w:style w:type="paragraph" w:styleId="Testonotaapidipagina">
    <w:name w:val="footnote text"/>
    <w:basedOn w:val="Normale"/>
    <w:link w:val="TestonotaapidipaginaCarattere"/>
    <w:uiPriority w:val="99"/>
    <w:rsid w:val="00FB2099"/>
    <w:rPr>
      <w:rFonts w:eastAsia="Times New Roman"/>
      <w:kern w:val="0"/>
      <w:sz w:val="20"/>
      <w:szCs w:val="20"/>
      <w:lang w:eastAsia="es-ES"/>
      <w14:ligatures w14:val="none"/>
    </w:rPr>
  </w:style>
  <w:style w:type="character" w:customStyle="1" w:styleId="TestonotaapidipaginaCarattere">
    <w:name w:val="Testo nota a piè di pagina Carattere"/>
    <w:basedOn w:val="Carpredefinitoparagrafo"/>
    <w:link w:val="Testonotaapidipagina"/>
    <w:uiPriority w:val="99"/>
    <w:rsid w:val="00FB2099"/>
    <w:rPr>
      <w:rFonts w:eastAsia="Times New Roman"/>
      <w:kern w:val="0"/>
      <w:sz w:val="20"/>
      <w:szCs w:val="20"/>
      <w:lang w:eastAsia="es-ES"/>
      <w14:ligatures w14:val="none"/>
    </w:rPr>
  </w:style>
  <w:style w:type="character" w:styleId="Rimandonotaapidipagina">
    <w:name w:val="footnote reference"/>
    <w:basedOn w:val="Carpredefinitoparagrafo"/>
    <w:uiPriority w:val="99"/>
    <w:semiHidden/>
    <w:rsid w:val="00FB2099"/>
    <w:rPr>
      <w:vertAlign w:val="superscript"/>
    </w:rPr>
  </w:style>
  <w:style w:type="numbering" w:customStyle="1" w:styleId="Sinlista1">
    <w:name w:val="Sin lista1"/>
    <w:next w:val="Nessunelenco"/>
    <w:semiHidden/>
    <w:rsid w:val="00706AB1"/>
  </w:style>
  <w:style w:type="paragraph" w:styleId="Corpotesto">
    <w:name w:val="Body Text"/>
    <w:basedOn w:val="Normale"/>
    <w:link w:val="CorpotestoCarattere"/>
    <w:rsid w:val="00706AB1"/>
    <w:pPr>
      <w:jc w:val="both"/>
    </w:pPr>
    <w:rPr>
      <w:rFonts w:eastAsia="Times New Roman"/>
      <w:kern w:val="0"/>
      <w:sz w:val="32"/>
      <w:szCs w:val="22"/>
      <w:lang w:eastAsia="es-ES"/>
      <w14:ligatures w14:val="none"/>
    </w:rPr>
  </w:style>
  <w:style w:type="character" w:customStyle="1" w:styleId="CorpotestoCarattere">
    <w:name w:val="Corpo testo Carattere"/>
    <w:basedOn w:val="Carpredefinitoparagrafo"/>
    <w:link w:val="Corpotesto"/>
    <w:rsid w:val="00706AB1"/>
    <w:rPr>
      <w:rFonts w:eastAsia="Times New Roman"/>
      <w:kern w:val="0"/>
      <w:sz w:val="32"/>
      <w:szCs w:val="22"/>
      <w:lang w:eastAsia="es-ES"/>
      <w14:ligatures w14:val="none"/>
    </w:rPr>
  </w:style>
  <w:style w:type="paragraph" w:styleId="Corpodeltesto2">
    <w:name w:val="Body Text 2"/>
    <w:basedOn w:val="Normale"/>
    <w:link w:val="Corpodeltesto2Carattere"/>
    <w:rsid w:val="00706AB1"/>
    <w:pPr>
      <w:spacing w:after="120" w:line="480" w:lineRule="auto"/>
    </w:pPr>
    <w:rPr>
      <w:rFonts w:eastAsia="Times New Roman"/>
      <w:kern w:val="0"/>
      <w:szCs w:val="22"/>
      <w:lang w:eastAsia="es-ES"/>
      <w14:ligatures w14:val="none"/>
    </w:rPr>
  </w:style>
  <w:style w:type="character" w:customStyle="1" w:styleId="Corpodeltesto2Carattere">
    <w:name w:val="Corpo del testo 2 Carattere"/>
    <w:basedOn w:val="Carpredefinitoparagrafo"/>
    <w:link w:val="Corpodeltesto2"/>
    <w:rsid w:val="00706AB1"/>
    <w:rPr>
      <w:rFonts w:eastAsia="Times New Roman"/>
      <w:kern w:val="0"/>
      <w:szCs w:val="22"/>
      <w:lang w:eastAsia="es-ES"/>
      <w14:ligatures w14:val="none"/>
    </w:rPr>
  </w:style>
  <w:style w:type="paragraph" w:styleId="Pidipagina">
    <w:name w:val="footer"/>
    <w:basedOn w:val="Normale"/>
    <w:link w:val="PidipaginaCarattere"/>
    <w:rsid w:val="00706AB1"/>
    <w:pPr>
      <w:tabs>
        <w:tab w:val="center" w:pos="4252"/>
        <w:tab w:val="right" w:pos="8504"/>
      </w:tabs>
    </w:pPr>
    <w:rPr>
      <w:rFonts w:eastAsia="Times New Roman"/>
      <w:kern w:val="0"/>
      <w:szCs w:val="22"/>
      <w:lang w:eastAsia="es-ES"/>
      <w14:ligatures w14:val="none"/>
    </w:rPr>
  </w:style>
  <w:style w:type="character" w:customStyle="1" w:styleId="PidipaginaCarattere">
    <w:name w:val="Piè di pagina Carattere"/>
    <w:basedOn w:val="Carpredefinitoparagrafo"/>
    <w:link w:val="Pidipagina"/>
    <w:rsid w:val="00706AB1"/>
    <w:rPr>
      <w:rFonts w:eastAsia="Times New Roman"/>
      <w:kern w:val="0"/>
      <w:szCs w:val="22"/>
      <w:lang w:eastAsia="es-ES"/>
      <w14:ligatures w14:val="none"/>
    </w:rPr>
  </w:style>
  <w:style w:type="character" w:styleId="Numeropagina">
    <w:name w:val="page number"/>
    <w:basedOn w:val="Carpredefinitoparagrafo"/>
    <w:rsid w:val="00706AB1"/>
  </w:style>
  <w:style w:type="paragraph" w:styleId="NormaleWeb">
    <w:name w:val="Normal (Web)"/>
    <w:basedOn w:val="Normale"/>
    <w:rsid w:val="00706AB1"/>
    <w:pPr>
      <w:spacing w:before="100" w:beforeAutospacing="1" w:after="100" w:afterAutospacing="1"/>
    </w:pPr>
    <w:rPr>
      <w:rFonts w:eastAsia="Times New Roman"/>
      <w:color w:val="000000"/>
      <w:kern w:val="0"/>
      <w:lang w:eastAsia="es-ES"/>
      <w14:ligatures w14:val="none"/>
    </w:rPr>
  </w:style>
  <w:style w:type="paragraph" w:customStyle="1" w:styleId="HTMLconformatoprevio1">
    <w:name w:val="HTML con formato previo1"/>
    <w:basedOn w:val="Normale"/>
    <w:rsid w:val="00706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es-ES"/>
      <w14:ligatures w14:val="none"/>
    </w:rPr>
  </w:style>
  <w:style w:type="paragraph" w:styleId="Testofumetto">
    <w:name w:val="Balloon Text"/>
    <w:basedOn w:val="Normale"/>
    <w:link w:val="TestofumettoCarattere"/>
    <w:semiHidden/>
    <w:rsid w:val="00706AB1"/>
    <w:rPr>
      <w:rFonts w:ascii="Tahoma" w:eastAsia="Times New Roman" w:hAnsi="Tahoma" w:cs="Tahoma"/>
      <w:kern w:val="0"/>
      <w:sz w:val="16"/>
      <w:szCs w:val="16"/>
      <w:lang w:eastAsia="es-ES"/>
      <w14:ligatures w14:val="none"/>
    </w:rPr>
  </w:style>
  <w:style w:type="character" w:customStyle="1" w:styleId="TestofumettoCarattere">
    <w:name w:val="Testo fumetto Carattere"/>
    <w:basedOn w:val="Carpredefinitoparagrafo"/>
    <w:link w:val="Testofumetto"/>
    <w:semiHidden/>
    <w:rsid w:val="00706AB1"/>
    <w:rPr>
      <w:rFonts w:ascii="Tahoma" w:eastAsia="Times New Roman" w:hAnsi="Tahoma" w:cs="Tahoma"/>
      <w:kern w:val="0"/>
      <w:sz w:val="16"/>
      <w:szCs w:val="16"/>
      <w:lang w:eastAsia="es-ES"/>
      <w14:ligatures w14:val="none"/>
    </w:rPr>
  </w:style>
  <w:style w:type="paragraph" w:styleId="Intestazione">
    <w:name w:val="header"/>
    <w:basedOn w:val="Normale"/>
    <w:link w:val="IntestazioneCarattere"/>
    <w:rsid w:val="00706AB1"/>
    <w:pPr>
      <w:tabs>
        <w:tab w:val="center" w:pos="4252"/>
        <w:tab w:val="right" w:pos="8504"/>
      </w:tabs>
    </w:pPr>
    <w:rPr>
      <w:rFonts w:eastAsia="Times New Roman"/>
      <w:kern w:val="0"/>
      <w:szCs w:val="22"/>
      <w:lang w:eastAsia="es-ES"/>
      <w14:ligatures w14:val="none"/>
    </w:rPr>
  </w:style>
  <w:style w:type="character" w:customStyle="1" w:styleId="IntestazioneCarattere">
    <w:name w:val="Intestazione Carattere"/>
    <w:basedOn w:val="Carpredefinitoparagrafo"/>
    <w:link w:val="Intestazione"/>
    <w:rsid w:val="00706AB1"/>
    <w:rPr>
      <w:rFonts w:eastAsia="Times New Roman"/>
      <w:kern w:val="0"/>
      <w:szCs w:val="22"/>
      <w:lang w:eastAsia="es-ES"/>
      <w14:ligatures w14:val="none"/>
    </w:rPr>
  </w:style>
  <w:style w:type="character" w:styleId="Collegamentoipertestuale">
    <w:name w:val="Hyperlink"/>
    <w:basedOn w:val="Carpredefinitoparagrafo"/>
    <w:uiPriority w:val="99"/>
    <w:unhideWhenUsed/>
    <w:rsid w:val="007A46AD"/>
    <w:rPr>
      <w:color w:val="467886" w:themeColor="hyperlink"/>
      <w:u w:val="single"/>
    </w:rPr>
  </w:style>
  <w:style w:type="character" w:styleId="Menzionenonrisolta">
    <w:name w:val="Unresolved Mention"/>
    <w:basedOn w:val="Carpredefinitoparagrafo"/>
    <w:uiPriority w:val="99"/>
    <w:semiHidden/>
    <w:unhideWhenUsed/>
    <w:rsid w:val="007A46AD"/>
    <w:rPr>
      <w:color w:val="605E5C"/>
      <w:shd w:val="clear" w:color="auto" w:fill="E1DFDD"/>
    </w:rPr>
  </w:style>
  <w:style w:type="paragraph" w:customStyle="1" w:styleId="Epigrafeprincipal">
    <w:name w:val="Epigrafe principal"/>
    <w:basedOn w:val="Normale"/>
    <w:qFormat/>
    <w:rsid w:val="00A85705"/>
    <w:pPr>
      <w:tabs>
        <w:tab w:val="left" w:pos="426"/>
      </w:tabs>
      <w:spacing w:before="240" w:after="120" w:line="259" w:lineRule="auto"/>
      <w:ind w:left="425" w:hanging="425"/>
    </w:pPr>
    <w:rPr>
      <w:rFonts w:ascii="Minion Pro" w:eastAsia="Aptos" w:hAnsi="Minion Pro"/>
      <w:kern w:val="0"/>
      <w:sz w:val="22"/>
      <w:szCs w:val="22"/>
      <w14:ligatures w14:val="none"/>
    </w:rPr>
  </w:style>
  <w:style w:type="character" w:styleId="Enfasicorsivo">
    <w:name w:val="Emphasis"/>
    <w:basedOn w:val="Carpredefinitoparagrafo"/>
    <w:uiPriority w:val="20"/>
    <w:qFormat/>
    <w:rsid w:val="00247CF4"/>
    <w:rPr>
      <w:i/>
      <w:iCs/>
    </w:rPr>
  </w:style>
  <w:style w:type="character" w:styleId="Enfasigrassetto">
    <w:name w:val="Strong"/>
    <w:basedOn w:val="Carpredefinitoparagrafo"/>
    <w:uiPriority w:val="22"/>
    <w:qFormat/>
    <w:rsid w:val="00C2298E"/>
    <w:rPr>
      <w:b/>
      <w:bCs/>
    </w:rPr>
  </w:style>
  <w:style w:type="character" w:customStyle="1" w:styleId="citation-489">
    <w:name w:val="citation-489"/>
    <w:basedOn w:val="Carpredefinitoparagrafo"/>
    <w:rsid w:val="007B0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53E4D-DAA2-4EDF-8A27-9A25F19E6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Pages>
  <Words>9200</Words>
  <Characters>52445</Characters>
  <Application>Microsoft Office Word</Application>
  <DocSecurity>0</DocSecurity>
  <Lines>437</Lines>
  <Paragraphs>123</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Maldonado Montoya</dc:creator>
  <cp:keywords/>
  <dc:description/>
  <cp:lastModifiedBy>Simone Rosati</cp:lastModifiedBy>
  <cp:revision>94</cp:revision>
  <cp:lastPrinted>2025-09-30T08:45:00Z</cp:lastPrinted>
  <dcterms:created xsi:type="dcterms:W3CDTF">2025-09-30T11:13:00Z</dcterms:created>
  <dcterms:modified xsi:type="dcterms:W3CDTF">2026-03-30T07:13:00Z</dcterms:modified>
</cp:coreProperties>
</file>